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07"/>
        <w:gridCol w:w="4416"/>
        <w:gridCol w:w="1217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2023</w:t>
            </w:r>
            <w:r>
              <w:rPr>
                <w:rStyle w:val="5"/>
                <w:lang w:val="en-US" w:eastAsia="zh-CN" w:bidi="ar"/>
              </w:rPr>
              <w:t>年第四批工程勘察设计资质审查意见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申请类别及等级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中铁十一局集团第五工程有限公司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环境工程（水污染防治工程）专项甲级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市政行业（燃气工程、轨道交通工程除外） 甲级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工程勘察专业类（工程测量）甲级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重庆电力设计院有限责任公司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工程勘察专业类（岩土工程（勘察））甲级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重庆力杰消防工程有限公司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重庆千洲生态环境工程有限公司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重庆交建工程勘察设计有限公司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工程勘察专业类（工程测量）甲级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工程勘察专业类（岩土工程（勘察））甲级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重庆道远园林景观设计有限公司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重庆寰锐灯饰工程有限公司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重庆德生鼎盛实业发展有限公司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重庆市美术有限责任公司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建筑装饰工程设计专项甲级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重庆市轨道交通设计研究院有限责任公司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建筑行业（建筑工程）专业甲级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工程勘察专业类（岩土工程）甲级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3DD6"/>
    <w:rsid w:val="361A3561"/>
    <w:rsid w:val="480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5">
    <w:name w:val="font61"/>
    <w:basedOn w:val="2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91"/>
    <w:basedOn w:val="2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2023-10-24T11:12:00Z</dcterms:created>
  <dc:creator>HP</dc:creator>
  <cp:lastModifiedBy>HP</cp:lastModifiedBy>
  <dcterms:modified xsi:type="dcterms:W3CDTF">2023-10-24T11:13:48Z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