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val="0"/>
        <w:wordWrap/>
        <w:overflowPunct w:val="0"/>
        <w:topLinePunct w:val="0"/>
        <w:autoSpaceDE w:val="0"/>
        <w:autoSpaceDN w:val="0"/>
        <w:bidi w:val="0"/>
        <w:spacing w:before="308"/>
        <w:ind w:right="221"/>
        <w:jc w:val="left"/>
        <w:textAlignment w:val="center"/>
        <w:outlineLvl w:val="9"/>
        <w:rPr>
          <w:rFonts w:ascii="Times New Roman" w:hAnsi="Times New Roman"/>
          <w:b/>
          <w:color w:val="auto"/>
          <w:kern w:val="0"/>
          <w:sz w:val="72"/>
          <w:szCs w:val="72"/>
          <w:highlight w:val="none"/>
        </w:rPr>
      </w:pPr>
      <w:r>
        <w:rPr>
          <w:rFonts w:ascii="Times New Roman" w:hAnsi="Times New Roman"/>
          <w:color w:val="auto"/>
          <w:sz w:val="28"/>
          <w:highlight w:val="none"/>
        </w:rPr>
        <w:t>住房和城乡建设部备案号：</w:t>
      </w:r>
      <w:r>
        <w:rPr>
          <w:rFonts w:hint="eastAsia" w:ascii="Times New Roman" w:hAnsi="Times New Roman"/>
          <w:color w:val="auto"/>
          <w:sz w:val="28"/>
          <w:highlight w:val="none"/>
        </w:rPr>
        <w:t>J</w:t>
      </w:r>
      <w:r>
        <w:rPr>
          <w:rFonts w:ascii="Times New Roman" w:hAnsi="Times New Roman"/>
          <w:color w:val="auto"/>
          <w:sz w:val="28"/>
          <w:szCs w:val="28"/>
          <w:highlight w:val="none"/>
        </w:rPr>
        <w:t xml:space="preserve"> ×××××-20**   </w:t>
      </w:r>
      <w:r>
        <w:rPr>
          <w:rFonts w:ascii="Times New Roman" w:hAnsi="Times New Roman"/>
          <w:color w:val="auto"/>
          <w:sz w:val="28"/>
          <w:highlight w:val="none"/>
        </w:rPr>
        <w:t xml:space="preserve">              </w:t>
      </w:r>
      <w:r>
        <w:rPr>
          <w:rFonts w:ascii="Times New Roman" w:hAnsi="Times New Roman"/>
          <w:b/>
          <w:color w:val="auto"/>
          <w:kern w:val="0"/>
          <w:sz w:val="72"/>
          <w:szCs w:val="72"/>
          <w:highlight w:val="none"/>
        </w:rPr>
        <w:t>DB</w:t>
      </w:r>
      <w:r>
        <w:rPr>
          <w:rFonts w:ascii="Times New Roman" w:hAnsi="Times New Roman"/>
          <w:color w:val="auto"/>
          <w:sz w:val="28"/>
          <w:highlight w:val="none"/>
        </w:rPr>
        <w:t xml:space="preserve">            </w:t>
      </w:r>
    </w:p>
    <w:p>
      <w:pPr>
        <w:keepNext w:val="0"/>
        <w:keepLines w:val="0"/>
        <w:pageBreakBefore w:val="0"/>
        <w:widowControl w:val="0"/>
        <w:kinsoku w:val="0"/>
        <w:wordWrap/>
        <w:overflowPunct w:val="0"/>
        <w:topLinePunct w:val="0"/>
        <w:autoSpaceDE w:val="0"/>
        <w:autoSpaceDN w:val="0"/>
        <w:bidi w:val="0"/>
        <w:spacing w:before="308"/>
        <w:ind w:right="221"/>
        <w:jc w:val="center"/>
        <w:textAlignment w:val="center"/>
        <w:outlineLvl w:val="9"/>
        <w:rPr>
          <w:rFonts w:ascii="Times New Roman" w:hAnsi="Times New Roman"/>
          <w:b/>
          <w:color w:val="auto"/>
          <w:kern w:val="0"/>
          <w:sz w:val="48"/>
          <w:szCs w:val="48"/>
          <w:highlight w:val="none"/>
        </w:rPr>
      </w:pPr>
      <w:r>
        <w:rPr>
          <w:rFonts w:ascii="Times New Roman" w:hAnsi="Times New Roman"/>
          <w:b/>
          <w:color w:val="auto"/>
          <w:kern w:val="0"/>
          <w:sz w:val="48"/>
          <w:szCs w:val="48"/>
          <w:highlight w:val="none"/>
        </w:rPr>
        <w:t>重庆市工程建设标准</w:t>
      </w:r>
    </w:p>
    <w:p>
      <w:pPr>
        <w:keepNext w:val="0"/>
        <w:keepLines w:val="0"/>
        <w:pageBreakBefore w:val="0"/>
        <w:widowControl w:val="0"/>
        <w:kinsoku w:val="0"/>
        <w:wordWrap/>
        <w:overflowPunct w:val="0"/>
        <w:topLinePunct w:val="0"/>
        <w:autoSpaceDE w:val="0"/>
        <w:autoSpaceDN w:val="0"/>
        <w:bidi w:val="0"/>
        <w:spacing w:before="308"/>
        <w:ind w:right="221"/>
        <w:jc w:val="center"/>
        <w:textAlignment w:val="center"/>
        <w:outlineLvl w:val="9"/>
        <w:rPr>
          <w:rFonts w:ascii="Times New Roman" w:hAnsi="Times New Roman"/>
          <w:b/>
          <w:color w:val="auto"/>
          <w:kern w:val="0"/>
          <w:sz w:val="48"/>
          <w:szCs w:val="48"/>
          <w:highlight w:val="none"/>
        </w:rPr>
      </w:pPr>
    </w:p>
    <w:p>
      <w:pPr>
        <w:keepNext w:val="0"/>
        <w:keepLines w:val="0"/>
        <w:pageBreakBefore w:val="0"/>
        <w:widowControl w:val="0"/>
        <w:kinsoku w:val="0"/>
        <w:wordWrap/>
        <w:overflowPunct w:val="0"/>
        <w:topLinePunct w:val="0"/>
        <w:autoSpaceDE w:val="0"/>
        <w:autoSpaceDN w:val="0"/>
        <w:bidi w:val="0"/>
        <w:spacing w:before="308"/>
        <w:ind w:right="221"/>
        <w:jc w:val="right"/>
        <w:textAlignment w:val="center"/>
        <w:outlineLvl w:val="9"/>
        <w:rPr>
          <w:rFonts w:ascii="Times New Roman" w:hAnsi="Times New Roman" w:eastAsia="楷体_GB2312"/>
          <w:color w:val="auto"/>
          <w:sz w:val="32"/>
          <w:highlight w:val="none"/>
        </w:rPr>
      </w:pPr>
      <w:r>
        <w:rPr>
          <w:rFonts w:ascii="Times New Roman" w:hAnsi="Times New Roman"/>
          <w:color w:val="auto"/>
          <w:highlight w:val="none"/>
        </w:rPr>
        <mc:AlternateContent>
          <mc:Choice Requires="wps">
            <w:drawing>
              <wp:anchor distT="0" distB="0" distL="114300" distR="114300" simplePos="0" relativeHeight="251679744" behindDoc="0" locked="0" layoutInCell="1" allowOverlap="1">
                <wp:simplePos x="0" y="0"/>
                <wp:positionH relativeFrom="column">
                  <wp:posOffset>142875</wp:posOffset>
                </wp:positionH>
                <wp:positionV relativeFrom="paragraph">
                  <wp:posOffset>542290</wp:posOffset>
                </wp:positionV>
                <wp:extent cx="5476875" cy="0"/>
                <wp:effectExtent l="0" t="0" r="0" b="0"/>
                <wp:wrapNone/>
                <wp:docPr id="305" name="直接连接符 305"/>
                <wp:cNvGraphicFramePr/>
                <a:graphic xmlns:a="http://schemas.openxmlformats.org/drawingml/2006/main">
                  <a:graphicData uri="http://schemas.microsoft.com/office/word/2010/wordprocessingShape">
                    <wps:wsp>
                      <wps:cNvCnPr>
                        <a:cxnSpLocks noChangeShapeType="1"/>
                      </wps:cNvCnPr>
                      <wps:spPr bwMode="auto">
                        <a:xfrm>
                          <a:off x="0" y="0"/>
                          <a:ext cx="5476875" cy="0"/>
                        </a:xfrm>
                        <a:prstGeom prst="line">
                          <a:avLst/>
                        </a:prstGeom>
                        <a:noFill/>
                        <a:ln w="12700">
                          <a:solidFill>
                            <a:sysClr val="windowText" lastClr="000000"/>
                          </a:solidFill>
                          <a:round/>
                        </a:ln>
                        <a:effectLst/>
                      </wps:spPr>
                      <wps:bodyPr/>
                    </wps:wsp>
                  </a:graphicData>
                </a:graphic>
              </wp:anchor>
            </w:drawing>
          </mc:Choice>
          <mc:Fallback>
            <w:pict>
              <v:line id="_x0000_s1026" o:spid="_x0000_s1026" o:spt="20" style="position:absolute;left:0pt;margin-left:11.25pt;margin-top:42.7pt;height:0pt;width:431.25pt;z-index:251679744;mso-width-relative:page;mso-height-relative:page;" filled="f" stroked="t" coordsize="21600,21600" o:gfxdata="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bzoCP1wAAAAgBAAAPAAAAAAAAAAEAIAAAACIAAABkcnMvZG93bnJldi54bWxQ&#10;SwECFAAUAAAACACHTuJAMOdjMPgBAADRAwAADgAAAAAAAAABACAAAAAmAQAAZHJzL2Uyb0RvYy54&#10;bWxQSwUGAAAAAAYABgBZAQAAkAUAAAAA&#10;">
                <v:fill on="f" focussize="0,0"/>
                <v:stroke weight="1pt" color="#000000" joinstyle="round"/>
                <v:imagedata o:title=""/>
                <o:lock v:ext="edit" aspectratio="f"/>
              </v:line>
            </w:pict>
          </mc:Fallback>
        </mc:AlternateContent>
      </w:r>
      <w:r>
        <w:rPr>
          <w:rFonts w:ascii="Times New Roman" w:hAnsi="Times New Roman" w:eastAsia="楷体_GB2312"/>
          <w:color w:val="auto"/>
          <w:sz w:val="32"/>
          <w:highlight w:val="none"/>
        </w:rPr>
        <w:t>DBJ50/T-</w:t>
      </w:r>
      <w:r>
        <w:rPr>
          <w:rFonts w:hint="eastAsia" w:ascii="Times New Roman" w:hAnsi="Times New Roman" w:eastAsia="楷体_GB2312"/>
          <w:color w:val="auto"/>
          <w:sz w:val="32"/>
          <w:highlight w:val="none"/>
        </w:rPr>
        <w:t>XX</w:t>
      </w:r>
      <w:r>
        <w:rPr>
          <w:rFonts w:ascii="Times New Roman" w:hAnsi="Times New Roman" w:eastAsia="楷体_GB2312"/>
          <w:color w:val="auto"/>
          <w:sz w:val="32"/>
          <w:highlight w:val="none"/>
        </w:rPr>
        <w:t>-20</w:t>
      </w:r>
      <w:r>
        <w:rPr>
          <w:rFonts w:hint="eastAsia" w:ascii="Times New Roman" w:hAnsi="Times New Roman" w:eastAsia="楷体_GB2312"/>
          <w:color w:val="auto"/>
          <w:sz w:val="32"/>
          <w:highlight w:val="none"/>
        </w:rPr>
        <w:t>2X</w:t>
      </w:r>
    </w:p>
    <w:p>
      <w:pPr>
        <w:keepNext w:val="0"/>
        <w:keepLines w:val="0"/>
        <w:pageBreakBefore w:val="0"/>
        <w:widowControl w:val="0"/>
        <w:wordWrap/>
        <w:topLinePunct w:val="0"/>
        <w:bidi w:val="0"/>
        <w:jc w:val="right"/>
        <w:outlineLvl w:val="9"/>
        <w:rPr>
          <w:rFonts w:ascii="Times New Roman" w:hAnsi="Times New Roman" w:eastAsia="方正小标宋_GBK"/>
          <w:color w:val="auto"/>
          <w:sz w:val="40"/>
          <w:szCs w:val="44"/>
          <w:highlight w:val="none"/>
        </w:rPr>
      </w:pP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ascii="Times New Roman" w:hAnsi="Times New Roman" w:eastAsia="黑体"/>
          <w:b/>
          <w:bCs/>
          <w:color w:val="auto"/>
          <w:sz w:val="44"/>
          <w:szCs w:val="44"/>
          <w:highlight w:val="none"/>
        </w:rPr>
      </w:pPr>
      <w:r>
        <w:rPr>
          <w:rFonts w:hint="eastAsia" w:ascii="Times New Roman" w:hAnsi="Times New Roman" w:eastAsia="黑体"/>
          <w:b/>
          <w:bCs/>
          <w:color w:val="auto"/>
          <w:sz w:val="44"/>
          <w:szCs w:val="44"/>
          <w:highlight w:val="none"/>
        </w:rPr>
        <w:t>建筑内保温复合板系统应用技术标准</w:t>
      </w:r>
    </w:p>
    <w:p>
      <w:pPr>
        <w:keepNext w:val="0"/>
        <w:keepLines w:val="0"/>
        <w:pageBreakBefore w:val="0"/>
        <w:widowControl w:val="0"/>
        <w:wordWrap/>
        <w:topLinePunct w:val="0"/>
        <w:bidi w:val="0"/>
        <w:jc w:val="center"/>
        <w:outlineLvl w:val="9"/>
        <w:rPr>
          <w:rFonts w:ascii="Times New Roman" w:hAnsi="Times New Roman"/>
          <w:color w:val="auto"/>
          <w:sz w:val="30"/>
          <w:szCs w:val="30"/>
          <w:highlight w:val="none"/>
        </w:rPr>
      </w:pPr>
      <w:r>
        <w:rPr>
          <w:rFonts w:hint="eastAsia" w:ascii="Times New Roman" w:hAnsi="Times New Roman"/>
          <w:color w:val="auto"/>
          <w:sz w:val="30"/>
          <w:szCs w:val="30"/>
          <w:highlight w:val="none"/>
        </w:rPr>
        <w:t xml:space="preserve">Technical standard for the application of thermal insulation composite panel system </w:t>
      </w:r>
      <w:r>
        <w:rPr>
          <w:rFonts w:hint="eastAsia" w:ascii="Times New Roman" w:hAnsi="Times New Roman"/>
          <w:color w:val="auto"/>
          <w:sz w:val="30"/>
          <w:szCs w:val="30"/>
          <w:highlight w:val="none"/>
          <w:lang w:val="en-US" w:eastAsia="zh-CN"/>
        </w:rPr>
        <w:t>o</w:t>
      </w:r>
      <w:r>
        <w:rPr>
          <w:rFonts w:hint="eastAsia" w:ascii="Times New Roman" w:hAnsi="Times New Roman"/>
          <w:color w:val="auto"/>
          <w:sz w:val="30"/>
          <w:szCs w:val="30"/>
          <w:highlight w:val="none"/>
        </w:rPr>
        <w:t>n building</w:t>
      </w:r>
    </w:p>
    <w:p>
      <w:pPr>
        <w:keepNext w:val="0"/>
        <w:keepLines w:val="0"/>
        <w:pageBreakBefore w:val="0"/>
        <w:widowControl w:val="0"/>
        <w:wordWrap/>
        <w:topLinePunct w:val="0"/>
        <w:bidi w:val="0"/>
        <w:jc w:val="center"/>
        <w:outlineLvl w:val="9"/>
        <w:rPr>
          <w:rFonts w:ascii="Times New Roman" w:hAnsi="Times New Roman"/>
          <w:color w:val="auto"/>
          <w:sz w:val="30"/>
          <w:szCs w:val="30"/>
          <w:highlight w:val="none"/>
        </w:rPr>
      </w:pPr>
    </w:p>
    <w:p>
      <w:pPr>
        <w:keepNext w:val="0"/>
        <w:keepLines w:val="0"/>
        <w:pageBreakBefore w:val="0"/>
        <w:widowControl w:val="0"/>
        <w:wordWrap/>
        <w:topLinePunct w:val="0"/>
        <w:bidi w:val="0"/>
        <w:jc w:val="center"/>
        <w:outlineLvl w:val="9"/>
        <w:rPr>
          <w:rFonts w:ascii="Times New Roman" w:hAnsi="Times New Roman" w:eastAsia="方正小标宋_GBK"/>
          <w:color w:val="auto"/>
          <w:sz w:val="40"/>
          <w:szCs w:val="44"/>
          <w:highlight w:val="none"/>
        </w:rPr>
      </w:pPr>
      <w:r>
        <w:rPr>
          <w:rFonts w:hint="eastAsia" w:ascii="Times New Roman" w:hAnsi="Times New Roman" w:eastAsia="方正小标宋_GBK"/>
          <w:color w:val="auto"/>
          <w:sz w:val="40"/>
          <w:szCs w:val="44"/>
          <w:highlight w:val="none"/>
        </w:rPr>
        <w:t>（</w:t>
      </w:r>
      <w:r>
        <w:rPr>
          <w:rFonts w:hint="eastAsia" w:ascii="Times New Roman" w:hAnsi="Times New Roman" w:eastAsia="方正小标宋_GBK"/>
          <w:color w:val="auto"/>
          <w:sz w:val="40"/>
          <w:szCs w:val="44"/>
          <w:highlight w:val="none"/>
          <w:lang w:val="en-US" w:eastAsia="zh-CN"/>
        </w:rPr>
        <w:t>征求意见</w:t>
      </w:r>
      <w:r>
        <w:rPr>
          <w:rFonts w:hint="eastAsia" w:ascii="Times New Roman" w:hAnsi="Times New Roman" w:eastAsia="方正小标宋_GBK"/>
          <w:color w:val="auto"/>
          <w:sz w:val="40"/>
          <w:szCs w:val="44"/>
          <w:highlight w:val="none"/>
        </w:rPr>
        <w:t>稿）</w:t>
      </w:r>
    </w:p>
    <w:p>
      <w:pPr>
        <w:keepNext w:val="0"/>
        <w:keepLines w:val="0"/>
        <w:pageBreakBefore w:val="0"/>
        <w:widowControl w:val="0"/>
        <w:wordWrap/>
        <w:topLinePunct w:val="0"/>
        <w:bidi w:val="0"/>
        <w:jc w:val="center"/>
        <w:outlineLvl w:val="9"/>
        <w:rPr>
          <w:rFonts w:ascii="Times New Roman" w:hAnsi="Times New Roman" w:eastAsia="方正小标宋_GBK"/>
          <w:color w:val="auto"/>
          <w:sz w:val="40"/>
          <w:szCs w:val="44"/>
          <w:highlight w:val="none"/>
        </w:rPr>
      </w:pPr>
    </w:p>
    <w:p>
      <w:pPr>
        <w:keepNext w:val="0"/>
        <w:keepLines w:val="0"/>
        <w:pageBreakBefore w:val="0"/>
        <w:widowControl w:val="0"/>
        <w:wordWrap/>
        <w:topLinePunct w:val="0"/>
        <w:bidi w:val="0"/>
        <w:jc w:val="center"/>
        <w:outlineLvl w:val="9"/>
        <w:rPr>
          <w:rFonts w:ascii="Times New Roman" w:hAnsi="Times New Roman" w:eastAsia="方正小标宋_GBK"/>
          <w:color w:val="auto"/>
          <w:sz w:val="40"/>
          <w:szCs w:val="44"/>
          <w:highlight w:val="none"/>
        </w:rPr>
      </w:pPr>
    </w:p>
    <w:p>
      <w:pPr>
        <w:keepNext w:val="0"/>
        <w:keepLines w:val="0"/>
        <w:pageBreakBefore w:val="0"/>
        <w:widowControl w:val="0"/>
        <w:wordWrap/>
        <w:topLinePunct w:val="0"/>
        <w:bidi w:val="0"/>
        <w:jc w:val="center"/>
        <w:outlineLvl w:val="9"/>
        <w:rPr>
          <w:rFonts w:ascii="Times New Roman" w:hAnsi="Times New Roman" w:eastAsia="方正小标宋_GBK"/>
          <w:color w:val="auto"/>
          <w:sz w:val="40"/>
          <w:szCs w:val="44"/>
          <w:highlight w:val="none"/>
        </w:rPr>
      </w:pPr>
    </w:p>
    <w:p>
      <w:pPr>
        <w:keepNext w:val="0"/>
        <w:keepLines w:val="0"/>
        <w:pageBreakBefore w:val="0"/>
        <w:widowControl w:val="0"/>
        <w:wordWrap/>
        <w:topLinePunct w:val="0"/>
        <w:bidi w:val="0"/>
        <w:jc w:val="center"/>
        <w:outlineLvl w:val="9"/>
        <w:rPr>
          <w:rFonts w:ascii="Times New Roman" w:hAnsi="Times New Roman" w:eastAsia="方正小标宋_GBK"/>
          <w:color w:val="auto"/>
          <w:sz w:val="40"/>
          <w:szCs w:val="44"/>
          <w:highlight w:val="none"/>
        </w:rPr>
      </w:pPr>
    </w:p>
    <w:p>
      <w:pPr>
        <w:keepNext w:val="0"/>
        <w:keepLines w:val="0"/>
        <w:pageBreakBefore w:val="0"/>
        <w:widowControl w:val="0"/>
        <w:wordWrap/>
        <w:topLinePunct w:val="0"/>
        <w:bidi w:val="0"/>
        <w:jc w:val="center"/>
        <w:outlineLvl w:val="9"/>
        <w:rPr>
          <w:rFonts w:ascii="Times New Roman" w:hAnsi="Times New Roman" w:eastAsia="方正小标宋_GBK"/>
          <w:color w:val="auto"/>
          <w:sz w:val="40"/>
          <w:szCs w:val="44"/>
          <w:highlight w:val="none"/>
        </w:rPr>
      </w:pPr>
    </w:p>
    <w:p>
      <w:pPr>
        <w:keepNext w:val="0"/>
        <w:keepLines w:val="0"/>
        <w:pageBreakBefore w:val="0"/>
        <w:widowControl w:val="0"/>
        <w:wordWrap/>
        <w:topLinePunct w:val="0"/>
        <w:bidi w:val="0"/>
        <w:jc w:val="center"/>
        <w:outlineLvl w:val="9"/>
        <w:rPr>
          <w:rFonts w:ascii="Times New Roman" w:hAnsi="Times New Roman" w:eastAsia="方正小标宋_GBK"/>
          <w:color w:val="auto"/>
          <w:sz w:val="40"/>
          <w:szCs w:val="44"/>
          <w:highlight w:val="none"/>
        </w:rPr>
      </w:pPr>
    </w:p>
    <w:p>
      <w:pPr>
        <w:keepNext w:val="0"/>
        <w:keepLines w:val="0"/>
        <w:pageBreakBefore w:val="0"/>
        <w:widowControl w:val="0"/>
        <w:wordWrap/>
        <w:topLinePunct w:val="0"/>
        <w:bidi w:val="0"/>
        <w:jc w:val="center"/>
        <w:outlineLvl w:val="9"/>
        <w:rPr>
          <w:rFonts w:ascii="Times New Roman" w:hAnsi="Times New Roman" w:eastAsia="方正小标宋_GBK"/>
          <w:color w:val="auto"/>
          <w:sz w:val="40"/>
          <w:szCs w:val="44"/>
          <w:highlight w:val="none"/>
        </w:rPr>
      </w:pPr>
    </w:p>
    <w:p>
      <w:pPr>
        <w:keepNext w:val="0"/>
        <w:keepLines w:val="0"/>
        <w:pageBreakBefore w:val="0"/>
        <w:widowControl w:val="0"/>
        <w:wordWrap/>
        <w:topLinePunct w:val="0"/>
        <w:bidi w:val="0"/>
        <w:jc w:val="center"/>
        <w:outlineLvl w:val="9"/>
        <w:rPr>
          <w:rFonts w:ascii="Times New Roman" w:hAnsi="Times New Roman" w:eastAsia="方正小标宋_GBK"/>
          <w:color w:val="auto"/>
          <w:sz w:val="40"/>
          <w:szCs w:val="44"/>
          <w:highlight w:val="none"/>
        </w:rPr>
      </w:pPr>
    </w:p>
    <w:p>
      <w:pPr>
        <w:keepNext w:val="0"/>
        <w:keepLines w:val="0"/>
        <w:pageBreakBefore w:val="0"/>
        <w:widowControl w:val="0"/>
        <w:wordWrap/>
        <w:topLinePunct w:val="0"/>
        <w:bidi w:val="0"/>
        <w:ind w:right="640"/>
        <w:jc w:val="left"/>
        <w:outlineLvl w:val="9"/>
        <w:rPr>
          <w:rFonts w:ascii="Times New Roman" w:hAnsi="Times New Roman"/>
          <w:b/>
          <w:color w:val="auto"/>
          <w:sz w:val="28"/>
          <w:szCs w:val="28"/>
          <w:highlight w:val="none"/>
        </w:rPr>
      </w:pPr>
      <w:r>
        <w:rPr>
          <w:rFonts w:ascii="Times New Roman" w:hAnsi="Times New Roman"/>
          <w:color w:val="auto"/>
          <w:highlight w:val="none"/>
        </w:rPr>
        <mc:AlternateContent>
          <mc:Choice Requires="wps">
            <w:drawing>
              <wp:anchor distT="0" distB="0" distL="114300" distR="114300" simplePos="0" relativeHeight="251680768" behindDoc="0" locked="0" layoutInCell="1" allowOverlap="1">
                <wp:simplePos x="0" y="0"/>
                <wp:positionH relativeFrom="column">
                  <wp:posOffset>-28575</wp:posOffset>
                </wp:positionH>
                <wp:positionV relativeFrom="paragraph">
                  <wp:posOffset>350520</wp:posOffset>
                </wp:positionV>
                <wp:extent cx="5591175" cy="0"/>
                <wp:effectExtent l="0" t="0" r="0" b="0"/>
                <wp:wrapNone/>
                <wp:docPr id="304" name="直接连接符 304"/>
                <wp:cNvGraphicFramePr/>
                <a:graphic xmlns:a="http://schemas.openxmlformats.org/drawingml/2006/main">
                  <a:graphicData uri="http://schemas.microsoft.com/office/word/2010/wordprocessingShape">
                    <wps:wsp>
                      <wps:cNvCnPr>
                        <a:cxnSpLocks noChangeShapeType="1"/>
                      </wps:cNvCnPr>
                      <wps:spPr bwMode="auto">
                        <a:xfrm>
                          <a:off x="0" y="0"/>
                          <a:ext cx="5591175" cy="0"/>
                        </a:xfrm>
                        <a:prstGeom prst="line">
                          <a:avLst/>
                        </a:prstGeom>
                        <a:noFill/>
                        <a:ln w="12700">
                          <a:solidFill>
                            <a:sysClr val="windowText" lastClr="000000"/>
                          </a:solidFill>
                          <a:round/>
                        </a:ln>
                        <a:effectLst/>
                      </wps:spPr>
                      <wps:bodyPr/>
                    </wps:wsp>
                  </a:graphicData>
                </a:graphic>
              </wp:anchor>
            </w:drawing>
          </mc:Choice>
          <mc:Fallback>
            <w:pict>
              <v:line id="_x0000_s1026" o:spid="_x0000_s1026" o:spt="20" style="position:absolute;left:0pt;margin-left:-2.25pt;margin-top:27.6pt;height:0pt;width:440.25pt;z-index:251680768;mso-width-relative:page;mso-height-relative:page;" filled="f" stroked="t" coordsize="21600,21600" o:gfxdata="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cxBhO1wAAAAgBAAAPAAAAAAAAAAEAIAAAACIAAABkcnMvZG93bnJldi54bWxQ&#10;SwECFAAUAAAACACHTuJA07FXxfgBAADRAwAADgAAAAAAAAABACAAAAAmAQAAZHJzL2Uyb0RvYy54&#10;bWxQSwUGAAAAAAYABgBZAQAAkAUAAAAA&#10;">
                <v:fill on="f" focussize="0,0"/>
                <v:stroke weight="1pt" color="#000000" joinstyle="round"/>
                <v:imagedata o:title=""/>
                <o:lock v:ext="edit" aspectratio="f"/>
              </v:line>
            </w:pict>
          </mc:Fallback>
        </mc:AlternateContent>
      </w:r>
      <w:r>
        <w:rPr>
          <w:rFonts w:ascii="Times New Roman" w:hAnsi="Times New Roman"/>
          <w:b/>
          <w:color w:val="auto"/>
          <w:sz w:val="28"/>
          <w:szCs w:val="28"/>
          <w:highlight w:val="none"/>
        </w:rPr>
        <w:t>20</w:t>
      </w:r>
      <w:r>
        <w:rPr>
          <w:rFonts w:hint="eastAsia" w:ascii="Times New Roman" w:hAnsi="Times New Roman"/>
          <w:b/>
          <w:color w:val="auto"/>
          <w:sz w:val="28"/>
          <w:szCs w:val="28"/>
          <w:highlight w:val="none"/>
        </w:rPr>
        <w:t>2X</w:t>
      </w:r>
      <w:r>
        <w:rPr>
          <w:rFonts w:ascii="Times New Roman" w:hAnsi="Times New Roman"/>
          <w:b/>
          <w:color w:val="auto"/>
          <w:sz w:val="28"/>
          <w:szCs w:val="28"/>
          <w:highlight w:val="none"/>
        </w:rPr>
        <w:t>-</w:t>
      </w:r>
      <w:r>
        <w:rPr>
          <w:rFonts w:hint="eastAsia" w:ascii="Times New Roman" w:hAnsi="Times New Roman"/>
          <w:b/>
          <w:color w:val="auto"/>
          <w:sz w:val="28"/>
          <w:szCs w:val="28"/>
          <w:highlight w:val="none"/>
        </w:rPr>
        <w:t>XX</w:t>
      </w:r>
      <w:r>
        <w:rPr>
          <w:rFonts w:ascii="Times New Roman" w:hAnsi="Times New Roman"/>
          <w:b/>
          <w:color w:val="auto"/>
          <w:sz w:val="28"/>
          <w:szCs w:val="28"/>
          <w:highlight w:val="none"/>
        </w:rPr>
        <w:t>-</w:t>
      </w:r>
      <w:r>
        <w:rPr>
          <w:rFonts w:hint="eastAsia" w:ascii="Times New Roman" w:hAnsi="Times New Roman"/>
          <w:b/>
          <w:color w:val="auto"/>
          <w:sz w:val="28"/>
          <w:szCs w:val="28"/>
          <w:highlight w:val="none"/>
        </w:rPr>
        <w:t>XX</w:t>
      </w:r>
      <w:r>
        <w:rPr>
          <w:rFonts w:ascii="Times New Roman" w:hAnsi="Times New Roman"/>
          <w:b/>
          <w:color w:val="auto"/>
          <w:sz w:val="28"/>
          <w:szCs w:val="28"/>
          <w:highlight w:val="none"/>
        </w:rPr>
        <w:t>发布                           20</w:t>
      </w:r>
      <w:r>
        <w:rPr>
          <w:rFonts w:hint="eastAsia" w:ascii="Times New Roman" w:hAnsi="Times New Roman"/>
          <w:b/>
          <w:color w:val="auto"/>
          <w:sz w:val="28"/>
          <w:szCs w:val="28"/>
          <w:highlight w:val="none"/>
        </w:rPr>
        <w:t>2X</w:t>
      </w:r>
      <w:r>
        <w:rPr>
          <w:rFonts w:ascii="Times New Roman" w:hAnsi="Times New Roman"/>
          <w:b/>
          <w:color w:val="auto"/>
          <w:sz w:val="28"/>
          <w:szCs w:val="28"/>
          <w:highlight w:val="none"/>
        </w:rPr>
        <w:t>-</w:t>
      </w:r>
      <w:r>
        <w:rPr>
          <w:rFonts w:hint="eastAsia" w:ascii="Times New Roman" w:hAnsi="Times New Roman"/>
          <w:b/>
          <w:color w:val="auto"/>
          <w:sz w:val="28"/>
          <w:szCs w:val="28"/>
          <w:highlight w:val="none"/>
        </w:rPr>
        <w:t xml:space="preserve">XX </w:t>
      </w:r>
      <w:r>
        <w:rPr>
          <w:rFonts w:ascii="Times New Roman" w:hAnsi="Times New Roman"/>
          <w:b/>
          <w:color w:val="auto"/>
          <w:sz w:val="28"/>
          <w:szCs w:val="28"/>
          <w:highlight w:val="none"/>
        </w:rPr>
        <w:t>-</w:t>
      </w:r>
      <w:r>
        <w:rPr>
          <w:rFonts w:hint="eastAsia" w:ascii="Times New Roman" w:hAnsi="Times New Roman"/>
          <w:b/>
          <w:color w:val="auto"/>
          <w:sz w:val="28"/>
          <w:szCs w:val="28"/>
          <w:highlight w:val="none"/>
        </w:rPr>
        <w:t>XX</w:t>
      </w:r>
      <w:r>
        <w:rPr>
          <w:rFonts w:ascii="Times New Roman" w:hAnsi="Times New Roman"/>
          <w:b/>
          <w:color w:val="auto"/>
          <w:sz w:val="28"/>
          <w:szCs w:val="28"/>
          <w:highlight w:val="none"/>
        </w:rPr>
        <w:t>实施</w:t>
      </w:r>
    </w:p>
    <w:p>
      <w:pPr>
        <w:keepNext w:val="0"/>
        <w:keepLines w:val="0"/>
        <w:pageBreakBefore w:val="0"/>
        <w:widowControl w:val="0"/>
        <w:wordWrap/>
        <w:topLinePunct w:val="0"/>
        <w:bidi w:val="0"/>
        <w:ind w:right="640" w:firstLine="643" w:firstLineChars="200"/>
        <w:jc w:val="center"/>
        <w:outlineLvl w:val="9"/>
        <w:rPr>
          <w:rFonts w:ascii="Times New Roman" w:hAnsi="Times New Roman"/>
          <w:b/>
          <w:color w:val="auto"/>
          <w:sz w:val="32"/>
          <w:szCs w:val="32"/>
          <w:highlight w:val="none"/>
        </w:rPr>
      </w:pPr>
      <w:r>
        <w:rPr>
          <w:rFonts w:ascii="Times New Roman" w:hAnsi="Times New Roman"/>
          <w:b/>
          <w:color w:val="auto"/>
          <w:sz w:val="32"/>
          <w:szCs w:val="32"/>
          <w:highlight w:val="none"/>
        </w:rPr>
        <w:t>重庆市住房和城乡建设委员会  发布</w:t>
      </w:r>
    </w:p>
    <w:p>
      <w:pPr>
        <w:keepNext w:val="0"/>
        <w:keepLines w:val="0"/>
        <w:pageBreakBefore w:val="0"/>
        <w:widowControl w:val="0"/>
        <w:tabs>
          <w:tab w:val="left" w:pos="1605"/>
        </w:tabs>
        <w:wordWrap/>
        <w:topLinePunct w:val="0"/>
        <w:bidi w:val="0"/>
        <w:spacing w:line="480" w:lineRule="auto"/>
        <w:jc w:val="center"/>
        <w:outlineLvl w:val="9"/>
        <w:rPr>
          <w:rFonts w:ascii="Times New Roman" w:hAnsi="Times New Roman"/>
          <w:b/>
          <w:color w:val="auto"/>
          <w:sz w:val="32"/>
          <w:szCs w:val="32"/>
          <w:highlight w:val="none"/>
        </w:rPr>
        <w:sectPr>
          <w:headerReference r:id="rId3" w:type="default"/>
          <w:footerReference r:id="rId4" w:type="default"/>
          <w:pgSz w:w="11906" w:h="16838"/>
          <w:pgMar w:top="1440" w:right="1440" w:bottom="1440" w:left="1440"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keepNext w:val="0"/>
        <w:keepLines w:val="0"/>
        <w:pageBreakBefore w:val="0"/>
        <w:widowControl w:val="0"/>
        <w:kinsoku w:val="0"/>
        <w:wordWrap/>
        <w:overflowPunct w:val="0"/>
        <w:topLinePunct w:val="0"/>
        <w:autoSpaceDE w:val="0"/>
        <w:autoSpaceDN w:val="0"/>
        <w:bidi w:val="0"/>
        <w:spacing w:before="308"/>
        <w:ind w:right="221"/>
        <w:jc w:val="center"/>
        <w:textAlignment w:val="center"/>
        <w:outlineLvl w:val="9"/>
        <w:rPr>
          <w:rFonts w:ascii="Times New Roman" w:hAnsi="Times New Roman"/>
          <w:b/>
          <w:color w:val="auto"/>
          <w:kern w:val="0"/>
          <w:sz w:val="48"/>
          <w:szCs w:val="48"/>
          <w:highlight w:val="none"/>
        </w:rPr>
      </w:pPr>
    </w:p>
    <w:p>
      <w:pPr>
        <w:keepNext w:val="0"/>
        <w:keepLines w:val="0"/>
        <w:pageBreakBefore w:val="0"/>
        <w:widowControl w:val="0"/>
        <w:tabs>
          <w:tab w:val="left" w:pos="1605"/>
        </w:tabs>
        <w:wordWrap/>
        <w:topLinePunct w:val="0"/>
        <w:bidi w:val="0"/>
        <w:spacing w:line="480" w:lineRule="auto"/>
        <w:jc w:val="center"/>
        <w:outlineLvl w:val="9"/>
        <w:rPr>
          <w:rFonts w:ascii="Times New Roman" w:hAnsi="Times New Roman"/>
          <w:b/>
          <w:color w:val="auto"/>
          <w:sz w:val="32"/>
          <w:szCs w:val="32"/>
          <w:highlight w:val="none"/>
        </w:rPr>
      </w:pPr>
      <w:r>
        <w:rPr>
          <w:rFonts w:ascii="Times New Roman" w:hAnsi="Times New Roman"/>
          <w:b/>
          <w:color w:val="auto"/>
          <w:sz w:val="32"/>
          <w:szCs w:val="32"/>
          <w:highlight w:val="none"/>
        </w:rPr>
        <w:t>重庆市工程建设标准</w:t>
      </w:r>
    </w:p>
    <w:p>
      <w:pPr>
        <w:keepNext w:val="0"/>
        <w:keepLines w:val="0"/>
        <w:pageBreakBefore w:val="0"/>
        <w:widowControl w:val="0"/>
        <w:kinsoku w:val="0"/>
        <w:wordWrap/>
        <w:overflowPunct w:val="0"/>
        <w:topLinePunct w:val="0"/>
        <w:autoSpaceDE w:val="0"/>
        <w:autoSpaceDN w:val="0"/>
        <w:bidi w:val="0"/>
        <w:spacing w:before="308"/>
        <w:ind w:right="221"/>
        <w:jc w:val="center"/>
        <w:textAlignment w:val="center"/>
        <w:outlineLvl w:val="9"/>
        <w:rPr>
          <w:rFonts w:ascii="Times New Roman" w:hAnsi="Times New Roman"/>
          <w:b/>
          <w:color w:val="auto"/>
          <w:kern w:val="0"/>
          <w:sz w:val="48"/>
          <w:szCs w:val="48"/>
          <w:highlight w:val="none"/>
        </w:rPr>
      </w:pPr>
    </w:p>
    <w:p>
      <w:pPr>
        <w:pStyle w:val="2"/>
        <w:keepNext w:val="0"/>
        <w:keepLines w:val="0"/>
        <w:pageBreakBefore w:val="0"/>
        <w:widowControl w:val="0"/>
        <w:wordWrap/>
        <w:topLinePunct w:val="0"/>
        <w:bidi w:val="0"/>
        <w:outlineLvl w:val="9"/>
        <w:rPr>
          <w:color w:val="auto"/>
          <w:highlight w:val="none"/>
        </w:rPr>
      </w:pPr>
    </w:p>
    <w:p>
      <w:pPr>
        <w:keepNext w:val="0"/>
        <w:keepLines w:val="0"/>
        <w:pageBreakBefore w:val="0"/>
        <w:widowControl w:val="0"/>
        <w:wordWrap/>
        <w:topLinePunct w:val="0"/>
        <w:bidi w:val="0"/>
        <w:jc w:val="center"/>
        <w:outlineLvl w:val="9"/>
        <w:rPr>
          <w:rFonts w:ascii="Times New Roman" w:hAnsi="Times New Roman" w:eastAsia="黑体"/>
          <w:b/>
          <w:bCs/>
          <w:color w:val="auto"/>
          <w:sz w:val="44"/>
          <w:szCs w:val="44"/>
          <w:highlight w:val="none"/>
        </w:rPr>
      </w:pPr>
      <w:r>
        <w:rPr>
          <w:rFonts w:hint="eastAsia" w:ascii="Times New Roman" w:hAnsi="Times New Roman" w:eastAsia="黑体"/>
          <w:b/>
          <w:bCs/>
          <w:color w:val="auto"/>
          <w:sz w:val="44"/>
          <w:szCs w:val="44"/>
          <w:highlight w:val="none"/>
        </w:rPr>
        <w:t>建筑内保温复合板系统应用技术标准</w:t>
      </w:r>
    </w:p>
    <w:p>
      <w:pPr>
        <w:keepNext w:val="0"/>
        <w:keepLines w:val="0"/>
        <w:pageBreakBefore w:val="0"/>
        <w:widowControl w:val="0"/>
        <w:wordWrap/>
        <w:topLinePunct w:val="0"/>
        <w:bidi w:val="0"/>
        <w:jc w:val="center"/>
        <w:outlineLvl w:val="9"/>
        <w:rPr>
          <w:rFonts w:ascii="Times New Roman" w:hAnsi="Times New Roman"/>
          <w:color w:val="auto"/>
          <w:sz w:val="30"/>
          <w:szCs w:val="30"/>
          <w:highlight w:val="none"/>
        </w:rPr>
      </w:pPr>
      <w:r>
        <w:rPr>
          <w:rFonts w:hint="eastAsia" w:ascii="Times New Roman" w:hAnsi="Times New Roman"/>
          <w:color w:val="auto"/>
          <w:sz w:val="30"/>
          <w:szCs w:val="30"/>
          <w:highlight w:val="none"/>
        </w:rPr>
        <w:t xml:space="preserve">Technical standard for the application of thermal insulation composite panel system </w:t>
      </w:r>
      <w:r>
        <w:rPr>
          <w:rFonts w:hint="eastAsia" w:ascii="Times New Roman" w:hAnsi="Times New Roman"/>
          <w:color w:val="auto"/>
          <w:sz w:val="30"/>
          <w:szCs w:val="30"/>
          <w:highlight w:val="none"/>
          <w:lang w:val="en-US" w:eastAsia="zh-CN"/>
        </w:rPr>
        <w:t>o</w:t>
      </w:r>
      <w:r>
        <w:rPr>
          <w:rFonts w:hint="eastAsia" w:ascii="Times New Roman" w:hAnsi="Times New Roman"/>
          <w:color w:val="auto"/>
          <w:sz w:val="30"/>
          <w:szCs w:val="30"/>
          <w:highlight w:val="none"/>
        </w:rPr>
        <w:t>n building</w:t>
      </w:r>
    </w:p>
    <w:p>
      <w:pPr>
        <w:keepNext w:val="0"/>
        <w:keepLines w:val="0"/>
        <w:pageBreakBefore w:val="0"/>
        <w:widowControl w:val="0"/>
        <w:tabs>
          <w:tab w:val="left" w:pos="1605"/>
        </w:tabs>
        <w:wordWrap/>
        <w:topLinePunct w:val="0"/>
        <w:bidi w:val="0"/>
        <w:spacing w:line="480" w:lineRule="auto"/>
        <w:jc w:val="center"/>
        <w:outlineLvl w:val="9"/>
        <w:rPr>
          <w:rFonts w:ascii="Times New Roman" w:hAnsi="Times New Roman"/>
          <w:b/>
          <w:color w:val="auto"/>
          <w:sz w:val="32"/>
          <w:szCs w:val="32"/>
          <w:highlight w:val="none"/>
        </w:rPr>
      </w:pPr>
    </w:p>
    <w:p>
      <w:pPr>
        <w:keepNext w:val="0"/>
        <w:keepLines w:val="0"/>
        <w:pageBreakBefore w:val="0"/>
        <w:widowControl w:val="0"/>
        <w:tabs>
          <w:tab w:val="left" w:pos="1605"/>
        </w:tabs>
        <w:wordWrap/>
        <w:topLinePunct w:val="0"/>
        <w:bidi w:val="0"/>
        <w:spacing w:line="480" w:lineRule="auto"/>
        <w:jc w:val="center"/>
        <w:outlineLvl w:val="9"/>
        <w:rPr>
          <w:rFonts w:ascii="Times New Roman" w:hAnsi="Times New Roman" w:eastAsia="方正仿宋_GBK"/>
          <w:b/>
          <w:color w:val="auto"/>
          <w:sz w:val="32"/>
          <w:szCs w:val="32"/>
          <w:highlight w:val="none"/>
        </w:rPr>
      </w:pPr>
      <w:r>
        <w:rPr>
          <w:rFonts w:ascii="Times New Roman" w:hAnsi="Times New Roman" w:eastAsia="方正仿宋_GBK"/>
          <w:b/>
          <w:color w:val="auto"/>
          <w:sz w:val="28"/>
          <w:szCs w:val="28"/>
          <w:highlight w:val="none"/>
        </w:rPr>
        <w:t>DBJ50/T-</w:t>
      </w:r>
      <w:r>
        <w:rPr>
          <w:rFonts w:hint="eastAsia" w:ascii="Times New Roman" w:hAnsi="Times New Roman" w:eastAsia="方正仿宋_GBK"/>
          <w:b/>
          <w:color w:val="auto"/>
          <w:sz w:val="28"/>
          <w:szCs w:val="28"/>
          <w:highlight w:val="none"/>
        </w:rPr>
        <w:t>XX-</w:t>
      </w:r>
      <w:r>
        <w:rPr>
          <w:rFonts w:ascii="Times New Roman" w:hAnsi="Times New Roman" w:eastAsia="方正仿宋_GBK"/>
          <w:b/>
          <w:color w:val="auto"/>
          <w:sz w:val="28"/>
          <w:szCs w:val="28"/>
          <w:highlight w:val="none"/>
        </w:rPr>
        <w:t>20</w:t>
      </w:r>
      <w:r>
        <w:rPr>
          <w:rFonts w:hint="eastAsia" w:ascii="Times New Roman" w:hAnsi="Times New Roman" w:eastAsia="方正仿宋_GBK"/>
          <w:b/>
          <w:color w:val="auto"/>
          <w:sz w:val="28"/>
          <w:szCs w:val="28"/>
          <w:highlight w:val="none"/>
        </w:rPr>
        <w:t>2X</w:t>
      </w:r>
    </w:p>
    <w:p>
      <w:pPr>
        <w:keepNext w:val="0"/>
        <w:keepLines w:val="0"/>
        <w:pageBreakBefore w:val="0"/>
        <w:widowControl w:val="0"/>
        <w:tabs>
          <w:tab w:val="left" w:pos="1605"/>
        </w:tabs>
        <w:wordWrap/>
        <w:topLinePunct w:val="0"/>
        <w:bidi w:val="0"/>
        <w:spacing w:line="480" w:lineRule="auto"/>
        <w:jc w:val="center"/>
        <w:outlineLvl w:val="9"/>
        <w:rPr>
          <w:rFonts w:ascii="Times New Roman" w:hAnsi="Times New Roman"/>
          <w:b/>
          <w:color w:val="auto"/>
          <w:sz w:val="32"/>
          <w:szCs w:val="32"/>
          <w:highlight w:val="none"/>
        </w:rPr>
      </w:pPr>
    </w:p>
    <w:p>
      <w:pPr>
        <w:keepNext w:val="0"/>
        <w:keepLines w:val="0"/>
        <w:pageBreakBefore w:val="0"/>
        <w:widowControl w:val="0"/>
        <w:tabs>
          <w:tab w:val="left" w:pos="1605"/>
        </w:tabs>
        <w:wordWrap/>
        <w:topLinePunct w:val="0"/>
        <w:bidi w:val="0"/>
        <w:spacing w:line="480" w:lineRule="auto"/>
        <w:jc w:val="center"/>
        <w:outlineLvl w:val="9"/>
        <w:rPr>
          <w:rFonts w:ascii="Times New Roman" w:hAnsi="Times New Roman"/>
          <w:b/>
          <w:color w:val="auto"/>
          <w:sz w:val="32"/>
          <w:szCs w:val="32"/>
          <w:highlight w:val="none"/>
        </w:rPr>
      </w:pPr>
    </w:p>
    <w:p>
      <w:pPr>
        <w:keepNext w:val="0"/>
        <w:keepLines w:val="0"/>
        <w:pageBreakBefore w:val="0"/>
        <w:widowControl w:val="0"/>
        <w:tabs>
          <w:tab w:val="left" w:pos="1605"/>
        </w:tabs>
        <w:wordWrap/>
        <w:topLinePunct w:val="0"/>
        <w:bidi w:val="0"/>
        <w:spacing w:line="480" w:lineRule="auto"/>
        <w:jc w:val="center"/>
        <w:outlineLvl w:val="9"/>
        <w:rPr>
          <w:rFonts w:ascii="Times New Roman" w:hAnsi="Times New Roman"/>
          <w:b/>
          <w:color w:val="auto"/>
          <w:sz w:val="32"/>
          <w:szCs w:val="32"/>
          <w:highlight w:val="none"/>
        </w:rPr>
      </w:pPr>
    </w:p>
    <w:p>
      <w:pPr>
        <w:keepNext w:val="0"/>
        <w:keepLines w:val="0"/>
        <w:pageBreakBefore w:val="0"/>
        <w:widowControl w:val="0"/>
        <w:tabs>
          <w:tab w:val="left" w:pos="1605"/>
        </w:tabs>
        <w:wordWrap/>
        <w:topLinePunct w:val="0"/>
        <w:bidi w:val="0"/>
        <w:spacing w:line="480" w:lineRule="auto"/>
        <w:jc w:val="center"/>
        <w:outlineLvl w:val="9"/>
        <w:rPr>
          <w:rFonts w:ascii="Times New Roman" w:hAnsi="Times New Roman"/>
          <w:b/>
          <w:color w:val="auto"/>
          <w:sz w:val="32"/>
          <w:szCs w:val="32"/>
          <w:highlight w:val="none"/>
        </w:rPr>
      </w:pPr>
    </w:p>
    <w:p>
      <w:pPr>
        <w:keepNext w:val="0"/>
        <w:keepLines w:val="0"/>
        <w:pageBreakBefore w:val="0"/>
        <w:widowControl w:val="0"/>
        <w:tabs>
          <w:tab w:val="left" w:pos="1605"/>
        </w:tabs>
        <w:wordWrap/>
        <w:topLinePunct w:val="0"/>
        <w:bidi w:val="0"/>
        <w:spacing w:line="480" w:lineRule="auto"/>
        <w:jc w:val="center"/>
        <w:outlineLvl w:val="9"/>
        <w:rPr>
          <w:rFonts w:ascii="Times New Roman" w:hAnsi="Times New Roman"/>
          <w:b/>
          <w:color w:val="auto"/>
          <w:sz w:val="32"/>
          <w:szCs w:val="32"/>
          <w:highlight w:val="none"/>
        </w:rPr>
      </w:pPr>
    </w:p>
    <w:p>
      <w:pPr>
        <w:keepNext w:val="0"/>
        <w:keepLines w:val="0"/>
        <w:pageBreakBefore w:val="0"/>
        <w:widowControl w:val="0"/>
        <w:tabs>
          <w:tab w:val="left" w:pos="1605"/>
        </w:tabs>
        <w:wordWrap/>
        <w:topLinePunct w:val="0"/>
        <w:bidi w:val="0"/>
        <w:spacing w:line="480" w:lineRule="auto"/>
        <w:jc w:val="center"/>
        <w:outlineLvl w:val="9"/>
        <w:rPr>
          <w:rFonts w:ascii="Times New Roman" w:hAnsi="Times New Roman"/>
          <w:b/>
          <w:color w:val="auto"/>
          <w:sz w:val="32"/>
          <w:szCs w:val="32"/>
          <w:highlight w:val="none"/>
        </w:rPr>
      </w:pPr>
    </w:p>
    <w:p>
      <w:pPr>
        <w:keepNext w:val="0"/>
        <w:keepLines w:val="0"/>
        <w:pageBreakBefore w:val="0"/>
        <w:widowControl w:val="0"/>
        <w:wordWrap/>
        <w:topLinePunct w:val="0"/>
        <w:bidi w:val="0"/>
        <w:snapToGrid w:val="0"/>
        <w:spacing w:line="360" w:lineRule="auto"/>
        <w:ind w:firstLine="1920" w:firstLineChars="800"/>
        <w:contextualSpacing/>
        <w:outlineLvl w:val="9"/>
        <w:rPr>
          <w:rFonts w:ascii="Times New Roman" w:hAnsi="Times New Roman"/>
          <w:color w:val="auto"/>
          <w:sz w:val="24"/>
          <w:highlight w:val="none"/>
        </w:rPr>
      </w:pPr>
      <w:r>
        <w:rPr>
          <w:rFonts w:ascii="Times New Roman" w:hAnsi="Times New Roman"/>
          <w:color w:val="auto"/>
          <w:sz w:val="24"/>
          <w:highlight w:val="none"/>
        </w:rPr>
        <w:t>主编单位：</w:t>
      </w:r>
    </w:p>
    <w:p>
      <w:pPr>
        <w:keepNext w:val="0"/>
        <w:keepLines w:val="0"/>
        <w:pageBreakBefore w:val="0"/>
        <w:widowControl w:val="0"/>
        <w:wordWrap/>
        <w:topLinePunct w:val="0"/>
        <w:bidi w:val="0"/>
        <w:snapToGrid w:val="0"/>
        <w:spacing w:line="360" w:lineRule="auto"/>
        <w:ind w:firstLine="1920" w:firstLineChars="800"/>
        <w:contextualSpacing/>
        <w:outlineLvl w:val="9"/>
        <w:rPr>
          <w:rFonts w:ascii="Times New Roman" w:hAnsi="Times New Roman"/>
          <w:color w:val="auto"/>
          <w:sz w:val="24"/>
          <w:highlight w:val="none"/>
        </w:rPr>
      </w:pPr>
      <w:r>
        <w:rPr>
          <w:rFonts w:ascii="Times New Roman" w:hAnsi="Times New Roman"/>
          <w:color w:val="auto"/>
          <w:sz w:val="24"/>
          <w:highlight w:val="none"/>
        </w:rPr>
        <w:t>批准部门：重庆市住房和城乡建设委员会</w:t>
      </w:r>
    </w:p>
    <w:p>
      <w:pPr>
        <w:keepNext w:val="0"/>
        <w:keepLines w:val="0"/>
        <w:pageBreakBefore w:val="0"/>
        <w:widowControl w:val="0"/>
        <w:wordWrap/>
        <w:topLinePunct w:val="0"/>
        <w:bidi w:val="0"/>
        <w:adjustRightInd w:val="0"/>
        <w:snapToGrid w:val="0"/>
        <w:spacing w:line="360" w:lineRule="auto"/>
        <w:ind w:firstLine="1920" w:firstLineChars="800"/>
        <w:contextualSpacing/>
        <w:outlineLvl w:val="9"/>
        <w:rPr>
          <w:rFonts w:ascii="Times New Roman" w:hAnsi="Times New Roman"/>
          <w:b/>
          <w:color w:val="auto"/>
          <w:sz w:val="24"/>
          <w:highlight w:val="none"/>
        </w:rPr>
      </w:pPr>
      <w:r>
        <w:rPr>
          <w:rFonts w:ascii="Times New Roman" w:hAnsi="Times New Roman"/>
          <w:color w:val="auto"/>
          <w:sz w:val="24"/>
          <w:highlight w:val="none"/>
        </w:rPr>
        <w:t>施行日期：20</w:t>
      </w:r>
      <w:r>
        <w:rPr>
          <w:rFonts w:hint="eastAsia" w:ascii="Times New Roman" w:hAnsi="Times New Roman"/>
          <w:color w:val="auto"/>
          <w:sz w:val="24"/>
          <w:highlight w:val="none"/>
        </w:rPr>
        <w:t>2X</w:t>
      </w:r>
      <w:r>
        <w:rPr>
          <w:rFonts w:ascii="Times New Roman" w:hAnsi="Times New Roman"/>
          <w:color w:val="auto"/>
          <w:sz w:val="24"/>
          <w:highlight w:val="none"/>
        </w:rPr>
        <w:t>年</w:t>
      </w:r>
      <w:r>
        <w:rPr>
          <w:rFonts w:hint="eastAsia" w:ascii="Times New Roman" w:hAnsi="Times New Roman"/>
          <w:color w:val="auto"/>
          <w:sz w:val="24"/>
          <w:highlight w:val="none"/>
        </w:rPr>
        <w:t>XX</w:t>
      </w:r>
      <w:r>
        <w:rPr>
          <w:rFonts w:ascii="Times New Roman" w:hAnsi="Times New Roman"/>
          <w:color w:val="auto"/>
          <w:sz w:val="24"/>
          <w:highlight w:val="none"/>
        </w:rPr>
        <w:t>月</w:t>
      </w:r>
      <w:r>
        <w:rPr>
          <w:rFonts w:hint="eastAsia" w:ascii="Times New Roman" w:hAnsi="Times New Roman"/>
          <w:color w:val="auto"/>
          <w:sz w:val="24"/>
          <w:highlight w:val="none"/>
        </w:rPr>
        <w:t>XX</w:t>
      </w:r>
      <w:r>
        <w:rPr>
          <w:rFonts w:ascii="Times New Roman" w:hAnsi="Times New Roman"/>
          <w:color w:val="auto"/>
          <w:sz w:val="24"/>
          <w:highlight w:val="none"/>
        </w:rPr>
        <w:t>日</w:t>
      </w:r>
    </w:p>
    <w:p>
      <w:pPr>
        <w:keepNext w:val="0"/>
        <w:keepLines w:val="0"/>
        <w:pageBreakBefore w:val="0"/>
        <w:widowControl w:val="0"/>
        <w:tabs>
          <w:tab w:val="left" w:pos="1605"/>
        </w:tabs>
        <w:wordWrap/>
        <w:topLinePunct w:val="0"/>
        <w:bidi w:val="0"/>
        <w:spacing w:line="480" w:lineRule="auto"/>
        <w:ind w:firstLine="1405" w:firstLineChars="500"/>
        <w:jc w:val="left"/>
        <w:outlineLvl w:val="9"/>
        <w:rPr>
          <w:rFonts w:ascii="Times New Roman" w:hAnsi="Times New Roman"/>
          <w:b/>
          <w:color w:val="auto"/>
          <w:sz w:val="28"/>
          <w:szCs w:val="28"/>
          <w:highlight w:val="none"/>
        </w:rPr>
      </w:pPr>
    </w:p>
    <w:p>
      <w:pPr>
        <w:keepNext w:val="0"/>
        <w:keepLines w:val="0"/>
        <w:pageBreakBefore w:val="0"/>
        <w:widowControl w:val="0"/>
        <w:tabs>
          <w:tab w:val="left" w:pos="1605"/>
        </w:tabs>
        <w:wordWrap/>
        <w:topLinePunct w:val="0"/>
        <w:bidi w:val="0"/>
        <w:spacing w:line="480" w:lineRule="auto"/>
        <w:ind w:firstLine="1405" w:firstLineChars="500"/>
        <w:jc w:val="left"/>
        <w:outlineLvl w:val="9"/>
        <w:rPr>
          <w:rFonts w:ascii="Times New Roman" w:hAnsi="Times New Roman"/>
          <w:b/>
          <w:color w:val="auto"/>
          <w:sz w:val="28"/>
          <w:szCs w:val="28"/>
          <w:highlight w:val="none"/>
        </w:rPr>
      </w:pPr>
    </w:p>
    <w:p>
      <w:pPr>
        <w:keepNext w:val="0"/>
        <w:keepLines w:val="0"/>
        <w:pageBreakBefore w:val="0"/>
        <w:widowControl w:val="0"/>
        <w:tabs>
          <w:tab w:val="left" w:pos="1605"/>
        </w:tabs>
        <w:wordWrap/>
        <w:topLinePunct w:val="0"/>
        <w:bidi w:val="0"/>
        <w:spacing w:line="480" w:lineRule="auto"/>
        <w:jc w:val="center"/>
        <w:outlineLvl w:val="9"/>
        <w:rPr>
          <w:rFonts w:ascii="Times New Roman" w:hAnsi="Times New Roman"/>
          <w:b/>
          <w:color w:val="auto"/>
          <w:sz w:val="28"/>
          <w:szCs w:val="28"/>
          <w:highlight w:val="none"/>
        </w:rPr>
      </w:pPr>
      <w:r>
        <w:rPr>
          <w:rFonts w:ascii="Times New Roman" w:hAnsi="Times New Roman"/>
          <w:b/>
          <w:color w:val="auto"/>
          <w:sz w:val="28"/>
          <w:szCs w:val="28"/>
          <w:highlight w:val="none"/>
        </w:rPr>
        <w:t>20</w:t>
      </w:r>
      <w:r>
        <w:rPr>
          <w:rFonts w:hint="eastAsia" w:ascii="Times New Roman" w:hAnsi="Times New Roman"/>
          <w:b/>
          <w:color w:val="auto"/>
          <w:sz w:val="28"/>
          <w:szCs w:val="28"/>
          <w:highlight w:val="none"/>
        </w:rPr>
        <w:t>2X</w:t>
      </w:r>
      <w:r>
        <w:rPr>
          <w:rFonts w:ascii="Times New Roman" w:hAnsi="Times New Roman"/>
          <w:b/>
          <w:color w:val="auto"/>
          <w:sz w:val="28"/>
          <w:szCs w:val="28"/>
          <w:highlight w:val="none"/>
        </w:rPr>
        <w:t>重庆</w:t>
      </w:r>
    </w:p>
    <w:p>
      <w:pPr>
        <w:keepNext w:val="0"/>
        <w:keepLines w:val="0"/>
        <w:pageBreakBefore w:val="0"/>
        <w:widowControl w:val="0"/>
        <w:tabs>
          <w:tab w:val="left" w:pos="1605"/>
        </w:tabs>
        <w:wordWrap/>
        <w:topLinePunct w:val="0"/>
        <w:bidi w:val="0"/>
        <w:spacing w:line="480" w:lineRule="auto"/>
        <w:ind w:firstLine="1405" w:firstLineChars="500"/>
        <w:jc w:val="center"/>
        <w:outlineLvl w:val="9"/>
        <w:rPr>
          <w:rFonts w:ascii="Times New Roman" w:hAnsi="Times New Roman"/>
          <w:b/>
          <w:color w:val="auto"/>
          <w:sz w:val="28"/>
          <w:szCs w:val="28"/>
          <w:highlight w:val="none"/>
        </w:rPr>
      </w:pPr>
    </w:p>
    <w:p>
      <w:pPr>
        <w:keepNext w:val="0"/>
        <w:keepLines w:val="0"/>
        <w:pageBreakBefore w:val="0"/>
        <w:widowControl w:val="0"/>
        <w:wordWrap/>
        <w:topLinePunct w:val="0"/>
        <w:bidi w:val="0"/>
        <w:jc w:val="center"/>
        <w:outlineLvl w:val="9"/>
        <w:rPr>
          <w:rFonts w:ascii="Times New Roman" w:hAnsi="Times New Roman"/>
          <w:b/>
          <w:color w:val="auto"/>
          <w:sz w:val="28"/>
          <w:szCs w:val="28"/>
          <w:highlight w:val="none"/>
        </w:rPr>
        <w:sectPr>
          <w:headerReference r:id="rId5" w:type="default"/>
          <w:footerReference r:id="rId6" w:type="default"/>
          <w:pgSz w:w="11906" w:h="16838"/>
          <w:pgMar w:top="1440" w:right="1440" w:bottom="1440" w:left="1440"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jc w:val="center"/>
        <w:textAlignment w:val="auto"/>
        <w:outlineLvl w:val="0"/>
        <w:rPr>
          <w:rFonts w:ascii="Times New Roman" w:hAnsi="Times New Roman"/>
          <w:b/>
          <w:color w:val="auto"/>
          <w:sz w:val="28"/>
          <w:szCs w:val="28"/>
          <w:highlight w:val="none"/>
        </w:rPr>
      </w:pPr>
      <w:bookmarkStart w:id="0" w:name="_Toc149"/>
      <w:bookmarkStart w:id="1" w:name="_Toc25477"/>
      <w:r>
        <w:rPr>
          <w:rFonts w:ascii="Times New Roman" w:hAnsi="Times New Roman"/>
          <w:b/>
          <w:color w:val="auto"/>
          <w:sz w:val="28"/>
          <w:szCs w:val="28"/>
          <w:highlight w:val="none"/>
        </w:rPr>
        <w:t>前  言</w:t>
      </w:r>
      <w:bookmarkEnd w:id="0"/>
      <w:bookmarkEnd w:id="1"/>
    </w:p>
    <w:p>
      <w:pPr>
        <w:keepNext w:val="0"/>
        <w:keepLines w:val="0"/>
        <w:pageBreakBefore w:val="0"/>
        <w:widowControl w:val="0"/>
        <w:kinsoku/>
        <w:wordWrap/>
        <w:overflowPunct/>
        <w:topLinePunct w:val="0"/>
        <w:bidi w:val="0"/>
        <w:spacing w:line="360" w:lineRule="auto"/>
        <w:ind w:firstLine="480" w:firstLineChars="200"/>
        <w:jc w:val="left"/>
        <w:textAlignment w:val="auto"/>
        <w:outlineLvl w:val="9"/>
        <w:rPr>
          <w:rFonts w:ascii="Times New Roman" w:hAnsi="Times New Roman"/>
          <w:color w:val="auto"/>
          <w:sz w:val="24"/>
          <w:highlight w:val="none"/>
        </w:rPr>
      </w:pPr>
      <w:r>
        <w:rPr>
          <w:rFonts w:hint="eastAsia" w:ascii="Times New Roman" w:hAnsi="Times New Roman"/>
          <w:color w:val="auto"/>
          <w:sz w:val="24"/>
          <w:highlight w:val="none"/>
        </w:rPr>
        <w:t>根据</w:t>
      </w:r>
      <w:r>
        <w:rPr>
          <w:rFonts w:ascii="Times New Roman" w:hAnsi="Times New Roman"/>
          <w:color w:val="auto"/>
          <w:sz w:val="24"/>
          <w:highlight w:val="none"/>
        </w:rPr>
        <w:t>重庆市住房和城乡建设委员会《关于下达2021年度重庆市工程建设标准制订修订项目立项计划（第二批）的通知》（渝建标〔2021〕31号）要求</w:t>
      </w:r>
      <w:r>
        <w:rPr>
          <w:rFonts w:hint="eastAsia" w:ascii="Times New Roman" w:hAnsi="Times New Roman"/>
          <w:color w:val="auto"/>
          <w:sz w:val="24"/>
          <w:highlight w:val="none"/>
        </w:rPr>
        <w:t>，重庆市住房和城乡建设技术发展中心</w:t>
      </w:r>
      <w:r>
        <w:rPr>
          <w:rFonts w:ascii="Times New Roman" w:hAnsi="Times New Roman"/>
          <w:color w:val="auto"/>
          <w:sz w:val="24"/>
          <w:highlight w:val="none"/>
        </w:rPr>
        <w:t>会同有关单位</w:t>
      </w:r>
      <w:r>
        <w:rPr>
          <w:rFonts w:hint="eastAsia" w:ascii="Times New Roman" w:hAnsi="Times New Roman"/>
          <w:color w:val="auto"/>
          <w:sz w:val="24"/>
          <w:highlight w:val="none"/>
        </w:rPr>
        <w:t>，经广泛调查研究，认真总结实践经验，并在广泛征求意见的基础上，</w:t>
      </w:r>
      <w:r>
        <w:rPr>
          <w:rFonts w:ascii="Times New Roman" w:hAnsi="Times New Roman"/>
          <w:color w:val="auto"/>
          <w:sz w:val="24"/>
          <w:highlight w:val="none"/>
        </w:rPr>
        <w:t>编制本标准。</w:t>
      </w:r>
    </w:p>
    <w:p>
      <w:pPr>
        <w:keepNext w:val="0"/>
        <w:keepLines w:val="0"/>
        <w:pageBreakBefore w:val="0"/>
        <w:widowControl w:val="0"/>
        <w:kinsoku/>
        <w:wordWrap/>
        <w:overflowPunct/>
        <w:topLinePunct w:val="0"/>
        <w:bidi w:val="0"/>
        <w:spacing w:line="360" w:lineRule="auto"/>
        <w:ind w:firstLine="480" w:firstLineChars="200"/>
        <w:jc w:val="left"/>
        <w:textAlignment w:val="auto"/>
        <w:outlineLvl w:val="9"/>
        <w:rPr>
          <w:rFonts w:ascii="Times New Roman" w:hAnsi="Times New Roman"/>
          <w:color w:val="auto"/>
          <w:sz w:val="24"/>
          <w:highlight w:val="none"/>
        </w:rPr>
      </w:pPr>
      <w:r>
        <w:rPr>
          <w:rFonts w:ascii="Times New Roman" w:hAnsi="Times New Roman"/>
          <w:color w:val="auto"/>
          <w:sz w:val="24"/>
          <w:highlight w:val="none"/>
        </w:rPr>
        <w:t>本标准主要内容包括：1总则；2术语；3基本规定；4</w:t>
      </w:r>
      <w:r>
        <w:rPr>
          <w:rFonts w:hint="eastAsia" w:ascii="Times New Roman" w:hAnsi="Times New Roman"/>
          <w:color w:val="auto"/>
          <w:sz w:val="24"/>
          <w:highlight w:val="none"/>
        </w:rPr>
        <w:t>性能要求</w:t>
      </w:r>
      <w:r>
        <w:rPr>
          <w:rFonts w:ascii="Times New Roman" w:hAnsi="Times New Roman"/>
          <w:color w:val="auto"/>
          <w:sz w:val="24"/>
          <w:highlight w:val="none"/>
        </w:rPr>
        <w:t>；5设计</w:t>
      </w:r>
      <w:r>
        <w:rPr>
          <w:rFonts w:hint="eastAsia" w:ascii="Times New Roman" w:hAnsi="Times New Roman"/>
          <w:color w:val="auto"/>
          <w:sz w:val="24"/>
          <w:highlight w:val="none"/>
        </w:rPr>
        <w:t>与系统构造</w:t>
      </w:r>
      <w:r>
        <w:rPr>
          <w:rFonts w:ascii="Times New Roman" w:hAnsi="Times New Roman"/>
          <w:color w:val="auto"/>
          <w:sz w:val="24"/>
          <w:highlight w:val="none"/>
        </w:rPr>
        <w:t>；6施工</w:t>
      </w:r>
      <w:r>
        <w:rPr>
          <w:rFonts w:hint="eastAsia" w:ascii="Times New Roman" w:hAnsi="Times New Roman"/>
          <w:color w:val="auto"/>
          <w:sz w:val="24"/>
          <w:highlight w:val="none"/>
        </w:rPr>
        <w:t xml:space="preserve">；7 </w:t>
      </w:r>
      <w:r>
        <w:rPr>
          <w:rFonts w:ascii="Times New Roman" w:hAnsi="Times New Roman"/>
          <w:color w:val="auto"/>
          <w:sz w:val="24"/>
          <w:highlight w:val="none"/>
        </w:rPr>
        <w:t>验收。</w:t>
      </w:r>
    </w:p>
    <w:p>
      <w:pPr>
        <w:keepNext w:val="0"/>
        <w:keepLines w:val="0"/>
        <w:pageBreakBefore w:val="0"/>
        <w:widowControl w:val="0"/>
        <w:kinsoku/>
        <w:wordWrap/>
        <w:overflowPunct/>
        <w:topLinePunct w:val="0"/>
        <w:autoSpaceDE w:val="0"/>
        <w:autoSpaceDN w:val="0"/>
        <w:bidi w:val="0"/>
        <w:adjustRightInd w:val="0"/>
        <w:spacing w:line="360" w:lineRule="auto"/>
        <w:ind w:firstLine="480" w:firstLineChars="200"/>
        <w:textAlignment w:val="auto"/>
        <w:outlineLvl w:val="9"/>
        <w:rPr>
          <w:rFonts w:ascii="Times New Roman" w:hAnsi="Times New Roman"/>
          <w:color w:val="auto"/>
          <w:sz w:val="24"/>
          <w:highlight w:val="none"/>
          <w:lang w:val="zh-CN"/>
        </w:rPr>
      </w:pPr>
      <w:r>
        <w:rPr>
          <w:rFonts w:ascii="Times New Roman" w:hAnsi="Times New Roman"/>
          <w:color w:val="auto"/>
          <w:sz w:val="24"/>
          <w:highlight w:val="none"/>
          <w:lang w:val="zh-CN"/>
        </w:rPr>
        <w:t>本标准由重庆市住房和城乡建设委员会负责管理，由</w:t>
      </w:r>
      <w:r>
        <w:rPr>
          <w:rFonts w:hint="eastAsia" w:ascii="Times New Roman" w:hAnsi="Times New Roman"/>
          <w:color w:val="auto"/>
          <w:sz w:val="24"/>
          <w:highlight w:val="none"/>
          <w:lang w:val="zh-CN"/>
        </w:rPr>
        <w:t>重庆市住房和城乡建设技术发展中心</w:t>
      </w:r>
      <w:r>
        <w:rPr>
          <w:rFonts w:ascii="Times New Roman" w:hAnsi="Times New Roman"/>
          <w:color w:val="auto"/>
          <w:sz w:val="24"/>
          <w:highlight w:val="none"/>
          <w:lang w:val="zh-CN"/>
        </w:rPr>
        <w:t>负责具体技术内容的解释。执行过程中如有意见或建议，请寄送</w:t>
      </w:r>
      <w:r>
        <w:rPr>
          <w:rFonts w:hint="eastAsia" w:ascii="Times New Roman" w:hAnsi="Times New Roman"/>
          <w:color w:val="auto"/>
          <w:sz w:val="24"/>
          <w:highlight w:val="none"/>
          <w:lang w:val="zh-CN"/>
        </w:rPr>
        <w:t>重庆市住房和城乡建设技术发展中心（地址：重庆市渝北区余松西路155号两江春城4幢，邮编：401147，电话：023-63610207；传真：023-63606316，网址：http：//www.jsfzzx.com）。</w:t>
      </w:r>
    </w:p>
    <w:p>
      <w:pPr>
        <w:keepNext w:val="0"/>
        <w:keepLines w:val="0"/>
        <w:pageBreakBefore w:val="0"/>
        <w:widowControl w:val="0"/>
        <w:tabs>
          <w:tab w:val="left" w:pos="945"/>
        </w:tabs>
        <w:kinsoku/>
        <w:wordWrap/>
        <w:overflowPunct/>
        <w:topLinePunct w:val="0"/>
        <w:bidi w:val="0"/>
        <w:spacing w:line="360" w:lineRule="auto"/>
        <w:jc w:val="left"/>
        <w:textAlignment w:val="auto"/>
        <w:outlineLvl w:val="9"/>
        <w:rPr>
          <w:rFonts w:ascii="Times New Roman" w:hAnsi="Times New Roman"/>
          <w:color w:val="auto"/>
          <w:sz w:val="24"/>
          <w:highlight w:val="none"/>
        </w:rPr>
      </w:pPr>
    </w:p>
    <w:p>
      <w:pPr>
        <w:keepNext w:val="0"/>
        <w:keepLines w:val="0"/>
        <w:pageBreakBefore w:val="0"/>
        <w:widowControl w:val="0"/>
        <w:tabs>
          <w:tab w:val="left" w:pos="945"/>
        </w:tabs>
        <w:kinsoku/>
        <w:wordWrap/>
        <w:overflowPunct/>
        <w:topLinePunct w:val="0"/>
        <w:bidi w:val="0"/>
        <w:spacing w:line="360" w:lineRule="auto"/>
        <w:jc w:val="left"/>
        <w:textAlignment w:val="auto"/>
        <w:outlineLvl w:val="9"/>
        <w:rPr>
          <w:rFonts w:ascii="Times New Roman" w:hAnsi="Times New Roman"/>
          <w:color w:val="auto"/>
          <w:sz w:val="24"/>
          <w:highlight w:val="none"/>
        </w:rPr>
      </w:pPr>
    </w:p>
    <w:p>
      <w:pPr>
        <w:keepNext w:val="0"/>
        <w:keepLines w:val="0"/>
        <w:pageBreakBefore w:val="0"/>
        <w:widowControl w:val="0"/>
        <w:kinsoku/>
        <w:wordWrap/>
        <w:overflowPunct/>
        <w:topLinePunct w:val="0"/>
        <w:bidi w:val="0"/>
        <w:spacing w:line="360" w:lineRule="auto"/>
        <w:ind w:firstLine="480" w:firstLineChars="200"/>
        <w:textAlignment w:val="auto"/>
        <w:outlineLvl w:val="9"/>
        <w:rPr>
          <w:rFonts w:ascii="Times New Roman" w:hAnsi="Times New Roman"/>
          <w:color w:val="auto"/>
          <w:sz w:val="24"/>
          <w:highlight w:val="none"/>
        </w:rPr>
      </w:pPr>
      <w:r>
        <w:rPr>
          <w:rFonts w:ascii="Times New Roman" w:hAnsi="Times New Roman"/>
          <w:color w:val="auto"/>
          <w:sz w:val="24"/>
          <w:highlight w:val="none"/>
        </w:rPr>
        <w:t>本标准主编单位、参编单位、主要起草人和审查专家：</w:t>
      </w:r>
    </w:p>
    <w:p>
      <w:pPr>
        <w:keepNext w:val="0"/>
        <w:keepLines w:val="0"/>
        <w:pageBreakBefore w:val="0"/>
        <w:widowControl w:val="0"/>
        <w:kinsoku/>
        <w:wordWrap/>
        <w:overflowPunct/>
        <w:topLinePunct w:val="0"/>
        <w:bidi w:val="0"/>
        <w:spacing w:line="360" w:lineRule="auto"/>
        <w:ind w:firstLine="530" w:firstLineChars="200"/>
        <w:textAlignment w:val="auto"/>
        <w:outlineLvl w:val="9"/>
        <w:rPr>
          <w:rFonts w:ascii="Times New Roman" w:hAnsi="Times New Roman"/>
          <w:color w:val="auto"/>
          <w:highlight w:val="none"/>
        </w:rPr>
      </w:pPr>
      <w:r>
        <w:rPr>
          <w:rFonts w:ascii="Times New Roman" w:hAnsi="Times New Roman"/>
          <w:b/>
          <w:color w:val="auto"/>
          <w:spacing w:val="27"/>
          <w:kern w:val="0"/>
          <w:highlight w:val="none"/>
        </w:rPr>
        <w:t>主编单位</w:t>
      </w:r>
      <w:r>
        <w:rPr>
          <w:rFonts w:ascii="Times New Roman" w:hAnsi="Times New Roman"/>
          <w:b/>
          <w:color w:val="auto"/>
          <w:spacing w:val="-2"/>
          <w:kern w:val="0"/>
          <w:highlight w:val="none"/>
        </w:rPr>
        <w:t>：</w:t>
      </w:r>
      <w:r>
        <w:rPr>
          <w:rFonts w:ascii="Times New Roman" w:hAnsi="Times New Roman"/>
          <w:b/>
          <w:color w:val="auto"/>
          <w:highlight w:val="none"/>
        </w:rPr>
        <w:tab/>
      </w:r>
    </w:p>
    <w:p>
      <w:pPr>
        <w:keepNext w:val="0"/>
        <w:keepLines w:val="0"/>
        <w:pageBreakBefore w:val="0"/>
        <w:widowControl w:val="0"/>
        <w:kinsoku/>
        <w:wordWrap/>
        <w:overflowPunct/>
        <w:topLinePunct w:val="0"/>
        <w:bidi w:val="0"/>
        <w:spacing w:line="360" w:lineRule="auto"/>
        <w:ind w:firstLine="530" w:firstLineChars="200"/>
        <w:textAlignment w:val="auto"/>
        <w:outlineLvl w:val="9"/>
        <w:rPr>
          <w:rFonts w:ascii="Times New Roman" w:hAnsi="Times New Roman"/>
          <w:b/>
          <w:color w:val="auto"/>
          <w:highlight w:val="none"/>
        </w:rPr>
      </w:pPr>
      <w:r>
        <w:rPr>
          <w:rFonts w:ascii="Times New Roman" w:hAnsi="Times New Roman"/>
          <w:b/>
          <w:color w:val="auto"/>
          <w:spacing w:val="27"/>
          <w:kern w:val="0"/>
          <w:highlight w:val="none"/>
        </w:rPr>
        <w:t>参编单位</w:t>
      </w:r>
      <w:r>
        <w:rPr>
          <w:rFonts w:ascii="Times New Roman" w:hAnsi="Times New Roman"/>
          <w:b/>
          <w:color w:val="auto"/>
          <w:spacing w:val="-2"/>
          <w:kern w:val="0"/>
          <w:highlight w:val="none"/>
        </w:rPr>
        <w:t>：</w:t>
      </w:r>
      <w:r>
        <w:rPr>
          <w:rFonts w:hint="eastAsia" w:ascii="Times New Roman" w:hAnsi="Times New Roman"/>
          <w:b/>
          <w:color w:val="auto"/>
          <w:highlight w:val="none"/>
        </w:rPr>
        <w:tab/>
      </w:r>
    </w:p>
    <w:p>
      <w:pPr>
        <w:keepNext w:val="0"/>
        <w:keepLines w:val="0"/>
        <w:pageBreakBefore w:val="0"/>
        <w:widowControl w:val="0"/>
        <w:kinsoku/>
        <w:wordWrap/>
        <w:overflowPunct/>
        <w:topLinePunct w:val="0"/>
        <w:bidi w:val="0"/>
        <w:spacing w:line="360" w:lineRule="auto"/>
        <w:ind w:firstLine="530" w:firstLineChars="200"/>
        <w:textAlignment w:val="auto"/>
        <w:outlineLvl w:val="9"/>
        <w:rPr>
          <w:rFonts w:ascii="Times New Roman" w:hAnsi="Times New Roman"/>
          <w:b/>
          <w:color w:val="auto"/>
          <w:spacing w:val="27"/>
          <w:kern w:val="0"/>
          <w:highlight w:val="none"/>
        </w:rPr>
      </w:pPr>
      <w:r>
        <w:rPr>
          <w:rFonts w:ascii="Times New Roman" w:hAnsi="Times New Roman"/>
          <w:b/>
          <w:color w:val="auto"/>
          <w:spacing w:val="27"/>
          <w:kern w:val="0"/>
          <w:highlight w:val="none"/>
        </w:rPr>
        <w:t>主要起草人：</w:t>
      </w:r>
      <w:r>
        <w:rPr>
          <w:rFonts w:ascii="Times New Roman" w:hAnsi="Times New Roman"/>
          <w:b/>
          <w:color w:val="auto"/>
          <w:spacing w:val="27"/>
          <w:kern w:val="0"/>
          <w:highlight w:val="none"/>
        </w:rPr>
        <w:tab/>
      </w:r>
    </w:p>
    <w:p>
      <w:pPr>
        <w:keepNext w:val="0"/>
        <w:keepLines w:val="0"/>
        <w:pageBreakBefore w:val="0"/>
        <w:widowControl w:val="0"/>
        <w:kinsoku/>
        <w:wordWrap/>
        <w:overflowPunct/>
        <w:topLinePunct w:val="0"/>
        <w:bidi w:val="0"/>
        <w:spacing w:line="360" w:lineRule="auto"/>
        <w:ind w:firstLine="530" w:firstLineChars="200"/>
        <w:textAlignment w:val="auto"/>
        <w:outlineLvl w:val="9"/>
        <w:rPr>
          <w:rFonts w:ascii="Times New Roman" w:hAnsi="Times New Roman"/>
          <w:b/>
          <w:color w:val="auto"/>
          <w:spacing w:val="27"/>
          <w:kern w:val="0"/>
          <w:highlight w:val="none"/>
        </w:rPr>
      </w:pPr>
      <w:r>
        <w:rPr>
          <w:rFonts w:ascii="Times New Roman" w:hAnsi="Times New Roman"/>
          <w:b/>
          <w:color w:val="auto"/>
          <w:spacing w:val="27"/>
          <w:kern w:val="0"/>
          <w:highlight w:val="none"/>
        </w:rPr>
        <w:t>审查专家：</w:t>
      </w:r>
    </w:p>
    <w:p>
      <w:pPr>
        <w:keepNext w:val="0"/>
        <w:keepLines w:val="0"/>
        <w:pageBreakBefore w:val="0"/>
        <w:widowControl w:val="0"/>
        <w:kinsoku/>
        <w:wordWrap/>
        <w:overflowPunct/>
        <w:topLinePunct w:val="0"/>
        <w:bidi w:val="0"/>
        <w:spacing w:line="360" w:lineRule="auto"/>
        <w:ind w:firstLine="420" w:firstLineChars="200"/>
        <w:textAlignment w:val="auto"/>
        <w:outlineLvl w:val="9"/>
        <w:rPr>
          <w:rFonts w:ascii="Times New Roman" w:hAnsi="Times New Roman"/>
          <w:color w:val="auto"/>
          <w:szCs w:val="21"/>
          <w:highlight w:val="none"/>
        </w:rPr>
      </w:pPr>
    </w:p>
    <w:p>
      <w:pPr>
        <w:keepNext w:val="0"/>
        <w:keepLines w:val="0"/>
        <w:pageBreakBefore w:val="0"/>
        <w:widowControl w:val="0"/>
        <w:kinsoku/>
        <w:wordWrap/>
        <w:overflowPunct/>
        <w:topLinePunct w:val="0"/>
        <w:bidi w:val="0"/>
        <w:textAlignment w:val="auto"/>
        <w:outlineLvl w:val="9"/>
        <w:rPr>
          <w:color w:val="auto"/>
          <w:highlight w:val="none"/>
        </w:rPr>
      </w:pPr>
    </w:p>
    <w:p>
      <w:pPr>
        <w:keepNext w:val="0"/>
        <w:keepLines w:val="0"/>
        <w:pageBreakBefore w:val="0"/>
        <w:widowControl w:val="0"/>
        <w:kinsoku/>
        <w:wordWrap/>
        <w:overflowPunct/>
        <w:topLinePunct w:val="0"/>
        <w:bidi w:val="0"/>
        <w:adjustRightInd w:val="0"/>
        <w:snapToGrid w:val="0"/>
        <w:spacing w:line="360" w:lineRule="auto"/>
        <w:ind w:firstLine="482"/>
        <w:jc w:val="center"/>
        <w:textAlignment w:val="auto"/>
        <w:outlineLvl w:val="9"/>
        <w:rPr>
          <w:rFonts w:ascii="Times New Roman" w:hAnsi="Times New Roman"/>
          <w:b/>
          <w:color w:val="auto"/>
          <w:sz w:val="28"/>
          <w:szCs w:val="28"/>
          <w:highlight w:val="none"/>
        </w:rPr>
      </w:pPr>
    </w:p>
    <w:p>
      <w:pPr>
        <w:keepNext w:val="0"/>
        <w:keepLines w:val="0"/>
        <w:pageBreakBefore w:val="0"/>
        <w:widowControl w:val="0"/>
        <w:kinsoku/>
        <w:wordWrap/>
        <w:overflowPunct/>
        <w:topLinePunct w:val="0"/>
        <w:bidi w:val="0"/>
        <w:adjustRightInd w:val="0"/>
        <w:snapToGrid w:val="0"/>
        <w:spacing w:line="360" w:lineRule="auto"/>
        <w:ind w:firstLine="482"/>
        <w:jc w:val="center"/>
        <w:textAlignment w:val="auto"/>
        <w:outlineLvl w:val="9"/>
        <w:rPr>
          <w:rFonts w:ascii="Times New Roman" w:hAnsi="Times New Roman"/>
          <w:b/>
          <w:color w:val="auto"/>
          <w:sz w:val="28"/>
          <w:szCs w:val="28"/>
          <w:highlight w:val="none"/>
        </w:rPr>
      </w:pPr>
    </w:p>
    <w:p>
      <w:pPr>
        <w:keepNext w:val="0"/>
        <w:keepLines w:val="0"/>
        <w:pageBreakBefore w:val="0"/>
        <w:widowControl w:val="0"/>
        <w:kinsoku/>
        <w:wordWrap/>
        <w:overflowPunct/>
        <w:topLinePunct w:val="0"/>
        <w:bidi w:val="0"/>
        <w:adjustRightInd w:val="0"/>
        <w:snapToGrid w:val="0"/>
        <w:spacing w:line="360" w:lineRule="auto"/>
        <w:ind w:firstLine="482"/>
        <w:jc w:val="center"/>
        <w:textAlignment w:val="auto"/>
        <w:outlineLvl w:val="9"/>
        <w:rPr>
          <w:rFonts w:ascii="Times New Roman" w:hAnsi="Times New Roman"/>
          <w:b/>
          <w:color w:val="auto"/>
          <w:sz w:val="28"/>
          <w:szCs w:val="28"/>
          <w:highlight w:val="none"/>
        </w:rPr>
      </w:pPr>
    </w:p>
    <w:p>
      <w:pPr>
        <w:keepNext w:val="0"/>
        <w:keepLines w:val="0"/>
        <w:pageBreakBefore w:val="0"/>
        <w:widowControl w:val="0"/>
        <w:kinsoku/>
        <w:wordWrap/>
        <w:overflowPunct/>
        <w:topLinePunct w:val="0"/>
        <w:bidi w:val="0"/>
        <w:adjustRightInd w:val="0"/>
        <w:snapToGrid w:val="0"/>
        <w:spacing w:line="360" w:lineRule="auto"/>
        <w:ind w:firstLine="482"/>
        <w:jc w:val="center"/>
        <w:textAlignment w:val="auto"/>
        <w:outlineLvl w:val="9"/>
        <w:rPr>
          <w:rFonts w:ascii="Times New Roman" w:hAnsi="Times New Roman"/>
          <w:b/>
          <w:color w:val="auto"/>
          <w:sz w:val="28"/>
          <w:szCs w:val="28"/>
          <w:highlight w:val="none"/>
        </w:rPr>
      </w:pPr>
    </w:p>
    <w:p>
      <w:pPr>
        <w:keepNext w:val="0"/>
        <w:keepLines w:val="0"/>
        <w:pageBreakBefore w:val="0"/>
        <w:widowControl w:val="0"/>
        <w:kinsoku/>
        <w:wordWrap/>
        <w:overflowPunct/>
        <w:topLinePunct w:val="0"/>
        <w:bidi w:val="0"/>
        <w:adjustRightInd w:val="0"/>
        <w:snapToGrid w:val="0"/>
        <w:spacing w:line="360" w:lineRule="auto"/>
        <w:ind w:firstLine="482"/>
        <w:jc w:val="center"/>
        <w:textAlignment w:val="auto"/>
        <w:outlineLvl w:val="9"/>
        <w:rPr>
          <w:rFonts w:ascii="Times New Roman" w:hAnsi="Times New Roman"/>
          <w:b/>
          <w:color w:val="auto"/>
          <w:sz w:val="28"/>
          <w:szCs w:val="28"/>
          <w:highlight w:val="none"/>
          <w:lang w:val="zh-CN"/>
        </w:rPr>
        <w:sectPr>
          <w:footerReference r:id="rId7" w:type="default"/>
          <w:pgSz w:w="11906" w:h="16838"/>
          <w:pgMar w:top="1440" w:right="1440" w:bottom="1440" w:left="1440"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spacing w:line="360" w:lineRule="auto"/>
        <w:ind w:firstLine="482"/>
        <w:jc w:val="center"/>
        <w:textAlignment w:val="auto"/>
        <w:outlineLvl w:val="0"/>
        <w:rPr>
          <w:rFonts w:ascii="Times New Roman" w:hAnsi="Times New Roman"/>
          <w:b/>
          <w:color w:val="auto"/>
          <w:sz w:val="28"/>
          <w:szCs w:val="28"/>
          <w:highlight w:val="none"/>
          <w:lang w:val="zh-CN"/>
        </w:rPr>
      </w:pPr>
      <w:bookmarkStart w:id="2" w:name="_Toc24373"/>
      <w:bookmarkStart w:id="3" w:name="_Toc10759"/>
      <w:bookmarkStart w:id="4" w:name="_Toc23109"/>
      <w:bookmarkStart w:id="5" w:name="_Toc23443"/>
      <w:bookmarkStart w:id="6" w:name="_Toc3440"/>
      <w:bookmarkStart w:id="7" w:name="_Toc19034"/>
      <w:bookmarkStart w:id="8" w:name="_Toc7233"/>
      <w:r>
        <w:rPr>
          <w:rFonts w:hint="eastAsia" w:ascii="Times New Roman" w:hAnsi="Times New Roman"/>
          <w:b/>
          <w:color w:val="auto"/>
          <w:sz w:val="28"/>
          <w:szCs w:val="28"/>
          <w:highlight w:val="none"/>
          <w:lang w:val="zh-CN"/>
        </w:rPr>
        <w:t>目次</w:t>
      </w:r>
      <w:bookmarkEnd w:id="2"/>
      <w:bookmarkEnd w:id="3"/>
      <w:bookmarkEnd w:id="4"/>
      <w:bookmarkEnd w:id="5"/>
      <w:bookmarkEnd w:id="6"/>
      <w:bookmarkEnd w:id="7"/>
      <w:bookmarkEnd w:id="8"/>
    </w:p>
    <w:p>
      <w:pPr>
        <w:pageBreakBefore w:val="0"/>
        <w:widowControl w:val="0"/>
        <w:kinsoku/>
        <w:wordWrap/>
        <w:overflowPunct/>
        <w:topLinePunct w:val="0"/>
        <w:autoSpaceDE/>
        <w:autoSpaceDN/>
        <w:bidi w:val="0"/>
        <w:adjustRightInd/>
        <w:snapToGrid/>
        <w:textAlignment w:val="auto"/>
        <w:outlineLvl w:val="9"/>
        <w:rPr>
          <w:color w:val="auto"/>
          <w:highlight w:val="none"/>
        </w:rPr>
      </w:pPr>
    </w:p>
    <w:p>
      <w:pPr>
        <w:pStyle w:val="17"/>
        <w:tabs>
          <w:tab w:val="right" w:leader="dot" w:pos="9026"/>
          <w:tab w:val="clear" w:pos="9016"/>
        </w:tabs>
        <w:rPr>
          <w:b w:val="0"/>
          <w:bCs/>
          <w:sz w:val="24"/>
          <w:szCs w:val="24"/>
          <w:highlight w:val="none"/>
        </w:rPr>
      </w:pPr>
      <w:r>
        <w:rPr>
          <w:b w:val="0"/>
          <w:bCs/>
          <w:color w:val="auto"/>
          <w:sz w:val="24"/>
          <w:szCs w:val="24"/>
          <w:highlight w:val="none"/>
        </w:rPr>
        <w:fldChar w:fldCharType="begin"/>
      </w:r>
      <w:r>
        <w:rPr>
          <w:b w:val="0"/>
          <w:bCs/>
          <w:color w:val="auto"/>
          <w:sz w:val="24"/>
          <w:szCs w:val="24"/>
          <w:highlight w:val="none"/>
        </w:rPr>
        <w:instrText xml:space="preserve">TOC \o "1-2" \h \u </w:instrText>
      </w:r>
      <w:r>
        <w:rPr>
          <w:b w:val="0"/>
          <w:bCs/>
          <w:color w:val="auto"/>
          <w:sz w:val="24"/>
          <w:szCs w:val="24"/>
          <w:highlight w:val="none"/>
        </w:rPr>
        <w:fldChar w:fldCharType="separate"/>
      </w:r>
      <w:r>
        <w:rPr>
          <w:b w:val="0"/>
          <w:bCs/>
          <w:color w:val="auto"/>
          <w:sz w:val="24"/>
          <w:szCs w:val="24"/>
          <w:highlight w:val="none"/>
        </w:rPr>
        <w:fldChar w:fldCharType="begin"/>
      </w:r>
      <w:r>
        <w:rPr>
          <w:b w:val="0"/>
          <w:bCs/>
          <w:sz w:val="24"/>
          <w:szCs w:val="24"/>
          <w:highlight w:val="none"/>
        </w:rPr>
        <w:instrText xml:space="preserve"> HYPERLINK \l _Toc12366 </w:instrText>
      </w:r>
      <w:r>
        <w:rPr>
          <w:b w:val="0"/>
          <w:bCs/>
          <w:sz w:val="24"/>
          <w:szCs w:val="24"/>
          <w:highlight w:val="none"/>
        </w:rPr>
        <w:fldChar w:fldCharType="separate"/>
      </w:r>
      <w:r>
        <w:rPr>
          <w:b w:val="0"/>
          <w:bCs/>
          <w:sz w:val="24"/>
          <w:szCs w:val="24"/>
          <w:highlight w:val="none"/>
        </w:rPr>
        <w:t xml:space="preserve">1  </w:t>
      </w:r>
      <w:r>
        <w:rPr>
          <w:rFonts w:hint="eastAsia"/>
          <w:b w:val="0"/>
          <w:bCs/>
          <w:sz w:val="24"/>
          <w:szCs w:val="24"/>
          <w:highlight w:val="none"/>
        </w:rPr>
        <w:t>总则</w:t>
      </w:r>
      <w:r>
        <w:rPr>
          <w:b w:val="0"/>
          <w:bCs/>
          <w:sz w:val="24"/>
          <w:szCs w:val="24"/>
          <w:highlight w:val="none"/>
        </w:rPr>
        <w:tab/>
      </w:r>
      <w:r>
        <w:rPr>
          <w:b w:val="0"/>
          <w:bCs/>
          <w:sz w:val="24"/>
          <w:szCs w:val="24"/>
          <w:highlight w:val="none"/>
        </w:rPr>
        <w:fldChar w:fldCharType="begin"/>
      </w:r>
      <w:r>
        <w:rPr>
          <w:b w:val="0"/>
          <w:bCs/>
          <w:sz w:val="24"/>
          <w:szCs w:val="24"/>
          <w:highlight w:val="none"/>
        </w:rPr>
        <w:instrText xml:space="preserve"> PAGEREF _Toc12366 \h </w:instrText>
      </w:r>
      <w:r>
        <w:rPr>
          <w:b w:val="0"/>
          <w:bCs/>
          <w:sz w:val="24"/>
          <w:szCs w:val="24"/>
          <w:highlight w:val="none"/>
        </w:rPr>
        <w:fldChar w:fldCharType="separate"/>
      </w:r>
      <w:r>
        <w:rPr>
          <w:b w:val="0"/>
          <w:bCs/>
          <w:sz w:val="24"/>
          <w:szCs w:val="24"/>
          <w:highlight w:val="none"/>
        </w:rPr>
        <w:t>1</w:t>
      </w:r>
      <w:r>
        <w:rPr>
          <w:b w:val="0"/>
          <w:bCs/>
          <w:sz w:val="24"/>
          <w:szCs w:val="24"/>
          <w:highlight w:val="none"/>
        </w:rPr>
        <w:fldChar w:fldCharType="end"/>
      </w:r>
      <w:r>
        <w:rPr>
          <w:b w:val="0"/>
          <w:bCs/>
          <w:color w:val="auto"/>
          <w:sz w:val="24"/>
          <w:szCs w:val="24"/>
          <w:highlight w:val="none"/>
        </w:rPr>
        <w:fldChar w:fldCharType="end"/>
      </w:r>
    </w:p>
    <w:p>
      <w:pPr>
        <w:pStyle w:val="17"/>
        <w:tabs>
          <w:tab w:val="right" w:leader="dot" w:pos="9026"/>
          <w:tab w:val="clear" w:pos="9016"/>
        </w:tabs>
        <w:rPr>
          <w:b w:val="0"/>
          <w:bCs/>
          <w:sz w:val="24"/>
          <w:szCs w:val="24"/>
          <w:highlight w:val="none"/>
        </w:rPr>
      </w:pPr>
      <w:r>
        <w:rPr>
          <w:b w:val="0"/>
          <w:bCs/>
          <w:color w:val="auto"/>
          <w:sz w:val="24"/>
          <w:szCs w:val="24"/>
          <w:highlight w:val="none"/>
        </w:rPr>
        <w:fldChar w:fldCharType="begin"/>
      </w:r>
      <w:r>
        <w:rPr>
          <w:b w:val="0"/>
          <w:bCs/>
          <w:sz w:val="24"/>
          <w:szCs w:val="24"/>
          <w:highlight w:val="none"/>
        </w:rPr>
        <w:instrText xml:space="preserve"> HYPERLINK \l _Toc286 </w:instrText>
      </w:r>
      <w:r>
        <w:rPr>
          <w:b w:val="0"/>
          <w:bCs/>
          <w:sz w:val="24"/>
          <w:szCs w:val="24"/>
          <w:highlight w:val="none"/>
        </w:rPr>
        <w:fldChar w:fldCharType="separate"/>
      </w:r>
      <w:r>
        <w:rPr>
          <w:b w:val="0"/>
          <w:bCs/>
          <w:sz w:val="24"/>
          <w:szCs w:val="24"/>
          <w:highlight w:val="none"/>
        </w:rPr>
        <w:t xml:space="preserve">2  </w:t>
      </w:r>
      <w:r>
        <w:rPr>
          <w:rFonts w:hint="eastAsia"/>
          <w:b w:val="0"/>
          <w:bCs/>
          <w:sz w:val="24"/>
          <w:szCs w:val="24"/>
          <w:highlight w:val="none"/>
        </w:rPr>
        <w:t>术  语</w:t>
      </w:r>
      <w:r>
        <w:rPr>
          <w:b w:val="0"/>
          <w:bCs/>
          <w:sz w:val="24"/>
          <w:szCs w:val="24"/>
          <w:highlight w:val="none"/>
        </w:rPr>
        <w:tab/>
      </w:r>
      <w:r>
        <w:rPr>
          <w:b w:val="0"/>
          <w:bCs/>
          <w:sz w:val="24"/>
          <w:szCs w:val="24"/>
          <w:highlight w:val="none"/>
        </w:rPr>
        <w:fldChar w:fldCharType="begin"/>
      </w:r>
      <w:r>
        <w:rPr>
          <w:b w:val="0"/>
          <w:bCs/>
          <w:sz w:val="24"/>
          <w:szCs w:val="24"/>
          <w:highlight w:val="none"/>
        </w:rPr>
        <w:instrText xml:space="preserve"> PAGEREF _Toc286 \h </w:instrText>
      </w:r>
      <w:r>
        <w:rPr>
          <w:b w:val="0"/>
          <w:bCs/>
          <w:sz w:val="24"/>
          <w:szCs w:val="24"/>
          <w:highlight w:val="none"/>
        </w:rPr>
        <w:fldChar w:fldCharType="separate"/>
      </w:r>
      <w:r>
        <w:rPr>
          <w:b w:val="0"/>
          <w:bCs/>
          <w:sz w:val="24"/>
          <w:szCs w:val="24"/>
          <w:highlight w:val="none"/>
        </w:rPr>
        <w:t>2</w:t>
      </w:r>
      <w:r>
        <w:rPr>
          <w:b w:val="0"/>
          <w:bCs/>
          <w:sz w:val="24"/>
          <w:szCs w:val="24"/>
          <w:highlight w:val="none"/>
        </w:rPr>
        <w:fldChar w:fldCharType="end"/>
      </w:r>
      <w:r>
        <w:rPr>
          <w:b w:val="0"/>
          <w:bCs/>
          <w:color w:val="auto"/>
          <w:sz w:val="24"/>
          <w:szCs w:val="24"/>
          <w:highlight w:val="none"/>
        </w:rPr>
        <w:fldChar w:fldCharType="end"/>
      </w:r>
    </w:p>
    <w:p>
      <w:pPr>
        <w:pStyle w:val="17"/>
        <w:tabs>
          <w:tab w:val="right" w:leader="dot" w:pos="9026"/>
          <w:tab w:val="clear" w:pos="9016"/>
        </w:tabs>
        <w:rPr>
          <w:b w:val="0"/>
          <w:bCs/>
          <w:sz w:val="24"/>
          <w:szCs w:val="24"/>
          <w:highlight w:val="none"/>
        </w:rPr>
      </w:pPr>
      <w:r>
        <w:rPr>
          <w:b w:val="0"/>
          <w:bCs/>
          <w:color w:val="auto"/>
          <w:sz w:val="24"/>
          <w:szCs w:val="24"/>
          <w:highlight w:val="none"/>
        </w:rPr>
        <w:fldChar w:fldCharType="begin"/>
      </w:r>
      <w:r>
        <w:rPr>
          <w:b w:val="0"/>
          <w:bCs/>
          <w:sz w:val="24"/>
          <w:szCs w:val="24"/>
          <w:highlight w:val="none"/>
        </w:rPr>
        <w:instrText xml:space="preserve"> HYPERLINK \l _Toc5295 </w:instrText>
      </w:r>
      <w:r>
        <w:rPr>
          <w:b w:val="0"/>
          <w:bCs/>
          <w:sz w:val="24"/>
          <w:szCs w:val="24"/>
          <w:highlight w:val="none"/>
        </w:rPr>
        <w:fldChar w:fldCharType="separate"/>
      </w:r>
      <w:r>
        <w:rPr>
          <w:b w:val="0"/>
          <w:bCs/>
          <w:sz w:val="24"/>
          <w:szCs w:val="24"/>
          <w:highlight w:val="none"/>
        </w:rPr>
        <w:t xml:space="preserve">3  </w:t>
      </w:r>
      <w:r>
        <w:rPr>
          <w:rFonts w:hint="eastAsia"/>
          <w:b w:val="0"/>
          <w:bCs/>
          <w:sz w:val="24"/>
          <w:szCs w:val="24"/>
          <w:highlight w:val="none"/>
        </w:rPr>
        <w:t>基本规定</w:t>
      </w:r>
      <w:r>
        <w:rPr>
          <w:b w:val="0"/>
          <w:bCs/>
          <w:sz w:val="24"/>
          <w:szCs w:val="24"/>
          <w:highlight w:val="none"/>
        </w:rPr>
        <w:tab/>
      </w:r>
      <w:r>
        <w:rPr>
          <w:b w:val="0"/>
          <w:bCs/>
          <w:sz w:val="24"/>
          <w:szCs w:val="24"/>
          <w:highlight w:val="none"/>
        </w:rPr>
        <w:fldChar w:fldCharType="begin"/>
      </w:r>
      <w:r>
        <w:rPr>
          <w:b w:val="0"/>
          <w:bCs/>
          <w:sz w:val="24"/>
          <w:szCs w:val="24"/>
          <w:highlight w:val="none"/>
        </w:rPr>
        <w:instrText xml:space="preserve"> PAGEREF _Toc5295 \h </w:instrText>
      </w:r>
      <w:r>
        <w:rPr>
          <w:b w:val="0"/>
          <w:bCs/>
          <w:sz w:val="24"/>
          <w:szCs w:val="24"/>
          <w:highlight w:val="none"/>
        </w:rPr>
        <w:fldChar w:fldCharType="separate"/>
      </w:r>
      <w:r>
        <w:rPr>
          <w:b w:val="0"/>
          <w:bCs/>
          <w:sz w:val="24"/>
          <w:szCs w:val="24"/>
          <w:highlight w:val="none"/>
        </w:rPr>
        <w:t>3</w:t>
      </w:r>
      <w:r>
        <w:rPr>
          <w:b w:val="0"/>
          <w:bCs/>
          <w:sz w:val="24"/>
          <w:szCs w:val="24"/>
          <w:highlight w:val="none"/>
        </w:rPr>
        <w:fldChar w:fldCharType="end"/>
      </w:r>
      <w:r>
        <w:rPr>
          <w:b w:val="0"/>
          <w:bCs/>
          <w:color w:val="auto"/>
          <w:sz w:val="24"/>
          <w:szCs w:val="24"/>
          <w:highlight w:val="none"/>
        </w:rPr>
        <w:fldChar w:fldCharType="end"/>
      </w:r>
    </w:p>
    <w:p>
      <w:pPr>
        <w:pStyle w:val="17"/>
        <w:tabs>
          <w:tab w:val="right" w:leader="dot" w:pos="9026"/>
          <w:tab w:val="clear" w:pos="9016"/>
        </w:tabs>
        <w:rPr>
          <w:b w:val="0"/>
          <w:bCs/>
          <w:sz w:val="24"/>
          <w:szCs w:val="24"/>
          <w:highlight w:val="none"/>
        </w:rPr>
      </w:pPr>
      <w:r>
        <w:rPr>
          <w:b w:val="0"/>
          <w:bCs/>
          <w:color w:val="auto"/>
          <w:sz w:val="24"/>
          <w:szCs w:val="24"/>
          <w:highlight w:val="none"/>
        </w:rPr>
        <w:fldChar w:fldCharType="begin"/>
      </w:r>
      <w:r>
        <w:rPr>
          <w:b w:val="0"/>
          <w:bCs/>
          <w:sz w:val="24"/>
          <w:szCs w:val="24"/>
          <w:highlight w:val="none"/>
        </w:rPr>
        <w:instrText xml:space="preserve"> HYPERLINK \l _Toc21733 </w:instrText>
      </w:r>
      <w:r>
        <w:rPr>
          <w:b w:val="0"/>
          <w:bCs/>
          <w:sz w:val="24"/>
          <w:szCs w:val="24"/>
          <w:highlight w:val="none"/>
        </w:rPr>
        <w:fldChar w:fldCharType="separate"/>
      </w:r>
      <w:r>
        <w:rPr>
          <w:rFonts w:hint="eastAsia"/>
          <w:b w:val="0"/>
          <w:bCs/>
          <w:sz w:val="24"/>
          <w:szCs w:val="24"/>
          <w:highlight w:val="none"/>
        </w:rPr>
        <w:t>4  性能要求</w:t>
      </w:r>
      <w:r>
        <w:rPr>
          <w:b w:val="0"/>
          <w:bCs/>
          <w:sz w:val="24"/>
          <w:szCs w:val="24"/>
          <w:highlight w:val="none"/>
        </w:rPr>
        <w:tab/>
      </w:r>
      <w:r>
        <w:rPr>
          <w:b w:val="0"/>
          <w:bCs/>
          <w:sz w:val="24"/>
          <w:szCs w:val="24"/>
          <w:highlight w:val="none"/>
        </w:rPr>
        <w:fldChar w:fldCharType="begin"/>
      </w:r>
      <w:r>
        <w:rPr>
          <w:b w:val="0"/>
          <w:bCs/>
          <w:sz w:val="24"/>
          <w:szCs w:val="24"/>
          <w:highlight w:val="none"/>
        </w:rPr>
        <w:instrText xml:space="preserve"> PAGEREF _Toc21733 \h </w:instrText>
      </w:r>
      <w:r>
        <w:rPr>
          <w:b w:val="0"/>
          <w:bCs/>
          <w:sz w:val="24"/>
          <w:szCs w:val="24"/>
          <w:highlight w:val="none"/>
        </w:rPr>
        <w:fldChar w:fldCharType="separate"/>
      </w:r>
      <w:r>
        <w:rPr>
          <w:b w:val="0"/>
          <w:bCs/>
          <w:sz w:val="24"/>
          <w:szCs w:val="24"/>
          <w:highlight w:val="none"/>
        </w:rPr>
        <w:t>7</w:t>
      </w:r>
      <w:r>
        <w:rPr>
          <w:b w:val="0"/>
          <w:bCs/>
          <w:sz w:val="24"/>
          <w:szCs w:val="24"/>
          <w:highlight w:val="none"/>
        </w:rPr>
        <w:fldChar w:fldCharType="end"/>
      </w:r>
      <w:r>
        <w:rPr>
          <w:b w:val="0"/>
          <w:bCs/>
          <w:color w:val="auto"/>
          <w:sz w:val="24"/>
          <w:szCs w:val="24"/>
          <w:highlight w:val="none"/>
        </w:rPr>
        <w:fldChar w:fldCharType="end"/>
      </w:r>
    </w:p>
    <w:p>
      <w:pPr>
        <w:pStyle w:val="19"/>
        <w:tabs>
          <w:tab w:val="right" w:leader="dot" w:pos="9026"/>
          <w:tab w:val="clear" w:pos="9016"/>
        </w:tabs>
        <w:rPr>
          <w:b w:val="0"/>
          <w:bCs/>
          <w:sz w:val="24"/>
          <w:szCs w:val="24"/>
          <w:highlight w:val="none"/>
        </w:rPr>
      </w:pPr>
      <w:r>
        <w:rPr>
          <w:b w:val="0"/>
          <w:bCs/>
          <w:color w:val="auto"/>
          <w:sz w:val="24"/>
          <w:szCs w:val="24"/>
          <w:highlight w:val="none"/>
        </w:rPr>
        <w:fldChar w:fldCharType="begin"/>
      </w:r>
      <w:r>
        <w:rPr>
          <w:b w:val="0"/>
          <w:bCs/>
          <w:sz w:val="24"/>
          <w:szCs w:val="24"/>
          <w:highlight w:val="none"/>
        </w:rPr>
        <w:instrText xml:space="preserve"> HYPERLINK \l _Toc19578 </w:instrText>
      </w:r>
      <w:r>
        <w:rPr>
          <w:b w:val="0"/>
          <w:bCs/>
          <w:sz w:val="24"/>
          <w:szCs w:val="24"/>
          <w:highlight w:val="none"/>
        </w:rPr>
        <w:fldChar w:fldCharType="separate"/>
      </w:r>
      <w:r>
        <w:rPr>
          <w:rFonts w:hint="eastAsia"/>
          <w:b w:val="0"/>
          <w:bCs/>
          <w:sz w:val="24"/>
          <w:szCs w:val="24"/>
          <w:highlight w:val="none"/>
        </w:rPr>
        <w:t>4.1 一般规定</w:t>
      </w:r>
      <w:r>
        <w:rPr>
          <w:b w:val="0"/>
          <w:bCs/>
          <w:sz w:val="24"/>
          <w:szCs w:val="24"/>
          <w:highlight w:val="none"/>
        </w:rPr>
        <w:tab/>
      </w:r>
      <w:r>
        <w:rPr>
          <w:b w:val="0"/>
          <w:bCs/>
          <w:sz w:val="24"/>
          <w:szCs w:val="24"/>
          <w:highlight w:val="none"/>
        </w:rPr>
        <w:fldChar w:fldCharType="begin"/>
      </w:r>
      <w:r>
        <w:rPr>
          <w:b w:val="0"/>
          <w:bCs/>
          <w:sz w:val="24"/>
          <w:szCs w:val="24"/>
          <w:highlight w:val="none"/>
        </w:rPr>
        <w:instrText xml:space="preserve"> PAGEREF _Toc19578 \h </w:instrText>
      </w:r>
      <w:r>
        <w:rPr>
          <w:b w:val="0"/>
          <w:bCs/>
          <w:sz w:val="24"/>
          <w:szCs w:val="24"/>
          <w:highlight w:val="none"/>
        </w:rPr>
        <w:fldChar w:fldCharType="separate"/>
      </w:r>
      <w:r>
        <w:rPr>
          <w:b w:val="0"/>
          <w:bCs/>
          <w:sz w:val="24"/>
          <w:szCs w:val="24"/>
          <w:highlight w:val="none"/>
        </w:rPr>
        <w:t>7</w:t>
      </w:r>
      <w:r>
        <w:rPr>
          <w:b w:val="0"/>
          <w:bCs/>
          <w:sz w:val="24"/>
          <w:szCs w:val="24"/>
          <w:highlight w:val="none"/>
        </w:rPr>
        <w:fldChar w:fldCharType="end"/>
      </w:r>
      <w:r>
        <w:rPr>
          <w:b w:val="0"/>
          <w:bCs/>
          <w:color w:val="auto"/>
          <w:sz w:val="24"/>
          <w:szCs w:val="24"/>
          <w:highlight w:val="none"/>
        </w:rPr>
        <w:fldChar w:fldCharType="end"/>
      </w:r>
    </w:p>
    <w:p>
      <w:pPr>
        <w:pStyle w:val="19"/>
        <w:tabs>
          <w:tab w:val="right" w:leader="dot" w:pos="9026"/>
          <w:tab w:val="clear" w:pos="9016"/>
        </w:tabs>
        <w:rPr>
          <w:b w:val="0"/>
          <w:bCs/>
          <w:sz w:val="24"/>
          <w:szCs w:val="24"/>
          <w:highlight w:val="none"/>
        </w:rPr>
      </w:pPr>
      <w:r>
        <w:rPr>
          <w:b w:val="0"/>
          <w:bCs/>
          <w:color w:val="auto"/>
          <w:sz w:val="24"/>
          <w:szCs w:val="24"/>
          <w:highlight w:val="none"/>
        </w:rPr>
        <w:fldChar w:fldCharType="begin"/>
      </w:r>
      <w:r>
        <w:rPr>
          <w:b w:val="0"/>
          <w:bCs/>
          <w:sz w:val="24"/>
          <w:szCs w:val="24"/>
          <w:highlight w:val="none"/>
        </w:rPr>
        <w:instrText xml:space="preserve"> HYPERLINK \l _Toc6607 </w:instrText>
      </w:r>
      <w:r>
        <w:rPr>
          <w:b w:val="0"/>
          <w:bCs/>
          <w:sz w:val="24"/>
          <w:szCs w:val="24"/>
          <w:highlight w:val="none"/>
        </w:rPr>
        <w:fldChar w:fldCharType="separate"/>
      </w:r>
      <w:r>
        <w:rPr>
          <w:rFonts w:hint="eastAsia"/>
          <w:b w:val="0"/>
          <w:bCs/>
          <w:sz w:val="24"/>
          <w:szCs w:val="24"/>
          <w:highlight w:val="none"/>
        </w:rPr>
        <w:t>4.2 系统性能要求</w:t>
      </w:r>
      <w:r>
        <w:rPr>
          <w:b w:val="0"/>
          <w:bCs/>
          <w:sz w:val="24"/>
          <w:szCs w:val="24"/>
          <w:highlight w:val="none"/>
        </w:rPr>
        <w:tab/>
      </w:r>
      <w:r>
        <w:rPr>
          <w:b w:val="0"/>
          <w:bCs/>
          <w:sz w:val="24"/>
          <w:szCs w:val="24"/>
          <w:highlight w:val="none"/>
        </w:rPr>
        <w:fldChar w:fldCharType="begin"/>
      </w:r>
      <w:r>
        <w:rPr>
          <w:b w:val="0"/>
          <w:bCs/>
          <w:sz w:val="24"/>
          <w:szCs w:val="24"/>
          <w:highlight w:val="none"/>
        </w:rPr>
        <w:instrText xml:space="preserve"> PAGEREF _Toc6607 \h </w:instrText>
      </w:r>
      <w:r>
        <w:rPr>
          <w:b w:val="0"/>
          <w:bCs/>
          <w:sz w:val="24"/>
          <w:szCs w:val="24"/>
          <w:highlight w:val="none"/>
        </w:rPr>
        <w:fldChar w:fldCharType="separate"/>
      </w:r>
      <w:r>
        <w:rPr>
          <w:b w:val="0"/>
          <w:bCs/>
          <w:sz w:val="24"/>
          <w:szCs w:val="24"/>
          <w:highlight w:val="none"/>
        </w:rPr>
        <w:t>9</w:t>
      </w:r>
      <w:r>
        <w:rPr>
          <w:b w:val="0"/>
          <w:bCs/>
          <w:sz w:val="24"/>
          <w:szCs w:val="24"/>
          <w:highlight w:val="none"/>
        </w:rPr>
        <w:fldChar w:fldCharType="end"/>
      </w:r>
      <w:r>
        <w:rPr>
          <w:b w:val="0"/>
          <w:bCs/>
          <w:color w:val="auto"/>
          <w:sz w:val="24"/>
          <w:szCs w:val="24"/>
          <w:highlight w:val="none"/>
        </w:rPr>
        <w:fldChar w:fldCharType="end"/>
      </w:r>
    </w:p>
    <w:p>
      <w:pPr>
        <w:pStyle w:val="19"/>
        <w:tabs>
          <w:tab w:val="right" w:leader="dot" w:pos="9026"/>
          <w:tab w:val="clear" w:pos="9016"/>
        </w:tabs>
        <w:rPr>
          <w:b w:val="0"/>
          <w:bCs/>
          <w:sz w:val="24"/>
          <w:szCs w:val="24"/>
          <w:highlight w:val="none"/>
        </w:rPr>
      </w:pPr>
      <w:r>
        <w:rPr>
          <w:b w:val="0"/>
          <w:bCs/>
          <w:color w:val="auto"/>
          <w:sz w:val="24"/>
          <w:szCs w:val="24"/>
          <w:highlight w:val="none"/>
        </w:rPr>
        <w:fldChar w:fldCharType="begin"/>
      </w:r>
      <w:r>
        <w:rPr>
          <w:b w:val="0"/>
          <w:bCs/>
          <w:sz w:val="24"/>
          <w:szCs w:val="24"/>
          <w:highlight w:val="none"/>
        </w:rPr>
        <w:instrText xml:space="preserve"> HYPERLINK \l _Toc14601 </w:instrText>
      </w:r>
      <w:r>
        <w:rPr>
          <w:b w:val="0"/>
          <w:bCs/>
          <w:sz w:val="24"/>
          <w:szCs w:val="24"/>
          <w:highlight w:val="none"/>
        </w:rPr>
        <w:fldChar w:fldCharType="separate"/>
      </w:r>
      <w:r>
        <w:rPr>
          <w:rFonts w:hint="eastAsia"/>
          <w:b w:val="0"/>
          <w:bCs/>
          <w:sz w:val="24"/>
          <w:szCs w:val="24"/>
          <w:highlight w:val="none"/>
        </w:rPr>
        <w:t>4.3 组成材料性能要求</w:t>
      </w:r>
      <w:r>
        <w:rPr>
          <w:b w:val="0"/>
          <w:bCs/>
          <w:sz w:val="24"/>
          <w:szCs w:val="24"/>
          <w:highlight w:val="none"/>
        </w:rPr>
        <w:tab/>
      </w:r>
      <w:r>
        <w:rPr>
          <w:b w:val="0"/>
          <w:bCs/>
          <w:sz w:val="24"/>
          <w:szCs w:val="24"/>
          <w:highlight w:val="none"/>
        </w:rPr>
        <w:fldChar w:fldCharType="begin"/>
      </w:r>
      <w:r>
        <w:rPr>
          <w:b w:val="0"/>
          <w:bCs/>
          <w:sz w:val="24"/>
          <w:szCs w:val="24"/>
          <w:highlight w:val="none"/>
        </w:rPr>
        <w:instrText xml:space="preserve"> PAGEREF _Toc14601 \h </w:instrText>
      </w:r>
      <w:r>
        <w:rPr>
          <w:b w:val="0"/>
          <w:bCs/>
          <w:sz w:val="24"/>
          <w:szCs w:val="24"/>
          <w:highlight w:val="none"/>
        </w:rPr>
        <w:fldChar w:fldCharType="separate"/>
      </w:r>
      <w:r>
        <w:rPr>
          <w:b w:val="0"/>
          <w:bCs/>
          <w:sz w:val="24"/>
          <w:szCs w:val="24"/>
          <w:highlight w:val="none"/>
        </w:rPr>
        <w:t>10</w:t>
      </w:r>
      <w:r>
        <w:rPr>
          <w:b w:val="0"/>
          <w:bCs/>
          <w:sz w:val="24"/>
          <w:szCs w:val="24"/>
          <w:highlight w:val="none"/>
        </w:rPr>
        <w:fldChar w:fldCharType="end"/>
      </w:r>
      <w:r>
        <w:rPr>
          <w:b w:val="0"/>
          <w:bCs/>
          <w:color w:val="auto"/>
          <w:sz w:val="24"/>
          <w:szCs w:val="24"/>
          <w:highlight w:val="none"/>
        </w:rPr>
        <w:fldChar w:fldCharType="end"/>
      </w:r>
    </w:p>
    <w:p>
      <w:pPr>
        <w:pStyle w:val="17"/>
        <w:tabs>
          <w:tab w:val="right" w:leader="dot" w:pos="9026"/>
          <w:tab w:val="clear" w:pos="9016"/>
        </w:tabs>
        <w:rPr>
          <w:b w:val="0"/>
          <w:bCs/>
          <w:sz w:val="24"/>
          <w:szCs w:val="24"/>
          <w:highlight w:val="none"/>
        </w:rPr>
      </w:pPr>
      <w:r>
        <w:rPr>
          <w:b w:val="0"/>
          <w:bCs/>
          <w:color w:val="auto"/>
          <w:sz w:val="24"/>
          <w:szCs w:val="24"/>
          <w:highlight w:val="none"/>
        </w:rPr>
        <w:fldChar w:fldCharType="begin"/>
      </w:r>
      <w:r>
        <w:rPr>
          <w:b w:val="0"/>
          <w:bCs/>
          <w:sz w:val="24"/>
          <w:szCs w:val="24"/>
          <w:highlight w:val="none"/>
        </w:rPr>
        <w:instrText xml:space="preserve"> HYPERLINK \l _Toc7006 </w:instrText>
      </w:r>
      <w:r>
        <w:rPr>
          <w:b w:val="0"/>
          <w:bCs/>
          <w:sz w:val="24"/>
          <w:szCs w:val="24"/>
          <w:highlight w:val="none"/>
        </w:rPr>
        <w:fldChar w:fldCharType="separate"/>
      </w:r>
      <w:r>
        <w:rPr>
          <w:b w:val="0"/>
          <w:bCs/>
          <w:sz w:val="24"/>
          <w:szCs w:val="24"/>
          <w:highlight w:val="none"/>
        </w:rPr>
        <w:t xml:space="preserve">5  </w:t>
      </w:r>
      <w:r>
        <w:rPr>
          <w:rFonts w:hint="eastAsia"/>
          <w:b w:val="0"/>
          <w:bCs/>
          <w:sz w:val="24"/>
          <w:szCs w:val="24"/>
          <w:highlight w:val="none"/>
        </w:rPr>
        <w:t>设计与系统</w:t>
      </w:r>
      <w:r>
        <w:rPr>
          <w:b w:val="0"/>
          <w:bCs/>
          <w:sz w:val="24"/>
          <w:szCs w:val="24"/>
          <w:highlight w:val="none"/>
        </w:rPr>
        <w:t>构造</w:t>
      </w:r>
      <w:r>
        <w:rPr>
          <w:b w:val="0"/>
          <w:bCs/>
          <w:sz w:val="24"/>
          <w:szCs w:val="24"/>
          <w:highlight w:val="none"/>
        </w:rPr>
        <w:tab/>
      </w:r>
      <w:r>
        <w:rPr>
          <w:b w:val="0"/>
          <w:bCs/>
          <w:sz w:val="24"/>
          <w:szCs w:val="24"/>
          <w:highlight w:val="none"/>
        </w:rPr>
        <w:fldChar w:fldCharType="begin"/>
      </w:r>
      <w:r>
        <w:rPr>
          <w:b w:val="0"/>
          <w:bCs/>
          <w:sz w:val="24"/>
          <w:szCs w:val="24"/>
          <w:highlight w:val="none"/>
        </w:rPr>
        <w:instrText xml:space="preserve"> PAGEREF _Toc7006 \h </w:instrText>
      </w:r>
      <w:r>
        <w:rPr>
          <w:b w:val="0"/>
          <w:bCs/>
          <w:sz w:val="24"/>
          <w:szCs w:val="24"/>
          <w:highlight w:val="none"/>
        </w:rPr>
        <w:fldChar w:fldCharType="separate"/>
      </w:r>
      <w:r>
        <w:rPr>
          <w:b w:val="0"/>
          <w:bCs/>
          <w:sz w:val="24"/>
          <w:szCs w:val="24"/>
          <w:highlight w:val="none"/>
        </w:rPr>
        <w:t>18</w:t>
      </w:r>
      <w:r>
        <w:rPr>
          <w:b w:val="0"/>
          <w:bCs/>
          <w:sz w:val="24"/>
          <w:szCs w:val="24"/>
          <w:highlight w:val="none"/>
        </w:rPr>
        <w:fldChar w:fldCharType="end"/>
      </w:r>
      <w:r>
        <w:rPr>
          <w:b w:val="0"/>
          <w:bCs/>
          <w:color w:val="auto"/>
          <w:sz w:val="24"/>
          <w:szCs w:val="24"/>
          <w:highlight w:val="none"/>
        </w:rPr>
        <w:fldChar w:fldCharType="end"/>
      </w:r>
    </w:p>
    <w:p>
      <w:pPr>
        <w:pStyle w:val="19"/>
        <w:tabs>
          <w:tab w:val="right" w:leader="dot" w:pos="9026"/>
          <w:tab w:val="clear" w:pos="9016"/>
        </w:tabs>
        <w:rPr>
          <w:b w:val="0"/>
          <w:bCs/>
          <w:sz w:val="24"/>
          <w:szCs w:val="24"/>
          <w:highlight w:val="none"/>
        </w:rPr>
      </w:pPr>
      <w:r>
        <w:rPr>
          <w:b w:val="0"/>
          <w:bCs/>
          <w:color w:val="auto"/>
          <w:sz w:val="24"/>
          <w:szCs w:val="24"/>
          <w:highlight w:val="none"/>
        </w:rPr>
        <w:fldChar w:fldCharType="begin"/>
      </w:r>
      <w:r>
        <w:rPr>
          <w:b w:val="0"/>
          <w:bCs/>
          <w:sz w:val="24"/>
          <w:szCs w:val="24"/>
          <w:highlight w:val="none"/>
        </w:rPr>
        <w:instrText xml:space="preserve"> HYPERLINK \l _Toc29508 </w:instrText>
      </w:r>
      <w:r>
        <w:rPr>
          <w:b w:val="0"/>
          <w:bCs/>
          <w:sz w:val="24"/>
          <w:szCs w:val="24"/>
          <w:highlight w:val="none"/>
        </w:rPr>
        <w:fldChar w:fldCharType="separate"/>
      </w:r>
      <w:r>
        <w:rPr>
          <w:b w:val="0"/>
          <w:bCs/>
          <w:sz w:val="24"/>
          <w:szCs w:val="24"/>
          <w:highlight w:val="none"/>
        </w:rPr>
        <w:t xml:space="preserve">5.1 </w:t>
      </w:r>
      <w:r>
        <w:rPr>
          <w:rFonts w:hint="eastAsia"/>
          <w:b w:val="0"/>
          <w:bCs/>
          <w:sz w:val="24"/>
          <w:szCs w:val="24"/>
          <w:highlight w:val="none"/>
        </w:rPr>
        <w:t>一般规定</w:t>
      </w:r>
      <w:r>
        <w:rPr>
          <w:b w:val="0"/>
          <w:bCs/>
          <w:sz w:val="24"/>
          <w:szCs w:val="24"/>
          <w:highlight w:val="none"/>
        </w:rPr>
        <w:tab/>
      </w:r>
      <w:r>
        <w:rPr>
          <w:b w:val="0"/>
          <w:bCs/>
          <w:sz w:val="24"/>
          <w:szCs w:val="24"/>
          <w:highlight w:val="none"/>
        </w:rPr>
        <w:fldChar w:fldCharType="begin"/>
      </w:r>
      <w:r>
        <w:rPr>
          <w:b w:val="0"/>
          <w:bCs/>
          <w:sz w:val="24"/>
          <w:szCs w:val="24"/>
          <w:highlight w:val="none"/>
        </w:rPr>
        <w:instrText xml:space="preserve"> PAGEREF _Toc29508 \h </w:instrText>
      </w:r>
      <w:r>
        <w:rPr>
          <w:b w:val="0"/>
          <w:bCs/>
          <w:sz w:val="24"/>
          <w:szCs w:val="24"/>
          <w:highlight w:val="none"/>
        </w:rPr>
        <w:fldChar w:fldCharType="separate"/>
      </w:r>
      <w:r>
        <w:rPr>
          <w:b w:val="0"/>
          <w:bCs/>
          <w:sz w:val="24"/>
          <w:szCs w:val="24"/>
          <w:highlight w:val="none"/>
        </w:rPr>
        <w:t>18</w:t>
      </w:r>
      <w:r>
        <w:rPr>
          <w:b w:val="0"/>
          <w:bCs/>
          <w:sz w:val="24"/>
          <w:szCs w:val="24"/>
          <w:highlight w:val="none"/>
        </w:rPr>
        <w:fldChar w:fldCharType="end"/>
      </w:r>
      <w:r>
        <w:rPr>
          <w:b w:val="0"/>
          <w:bCs/>
          <w:color w:val="auto"/>
          <w:sz w:val="24"/>
          <w:szCs w:val="24"/>
          <w:highlight w:val="none"/>
        </w:rPr>
        <w:fldChar w:fldCharType="end"/>
      </w:r>
    </w:p>
    <w:p>
      <w:pPr>
        <w:pStyle w:val="19"/>
        <w:tabs>
          <w:tab w:val="right" w:leader="dot" w:pos="9026"/>
          <w:tab w:val="clear" w:pos="9016"/>
        </w:tabs>
        <w:rPr>
          <w:b w:val="0"/>
          <w:bCs/>
          <w:sz w:val="24"/>
          <w:szCs w:val="24"/>
          <w:highlight w:val="none"/>
        </w:rPr>
      </w:pPr>
      <w:r>
        <w:rPr>
          <w:b w:val="0"/>
          <w:bCs/>
          <w:color w:val="auto"/>
          <w:sz w:val="24"/>
          <w:szCs w:val="24"/>
          <w:highlight w:val="none"/>
        </w:rPr>
        <w:fldChar w:fldCharType="begin"/>
      </w:r>
      <w:r>
        <w:rPr>
          <w:b w:val="0"/>
          <w:bCs/>
          <w:sz w:val="24"/>
          <w:szCs w:val="24"/>
          <w:highlight w:val="none"/>
        </w:rPr>
        <w:instrText xml:space="preserve"> HYPERLINK \l _Toc29196 </w:instrText>
      </w:r>
      <w:r>
        <w:rPr>
          <w:b w:val="0"/>
          <w:bCs/>
          <w:sz w:val="24"/>
          <w:szCs w:val="24"/>
          <w:highlight w:val="none"/>
        </w:rPr>
        <w:fldChar w:fldCharType="separate"/>
      </w:r>
      <w:r>
        <w:rPr>
          <w:b w:val="0"/>
          <w:bCs/>
          <w:sz w:val="24"/>
          <w:szCs w:val="24"/>
          <w:highlight w:val="none"/>
        </w:rPr>
        <w:t>5.2系统</w:t>
      </w:r>
      <w:r>
        <w:rPr>
          <w:rFonts w:hint="eastAsia"/>
          <w:b w:val="0"/>
          <w:bCs/>
          <w:sz w:val="24"/>
          <w:szCs w:val="24"/>
          <w:highlight w:val="none"/>
        </w:rPr>
        <w:t>构造设计</w:t>
      </w:r>
      <w:r>
        <w:rPr>
          <w:b w:val="0"/>
          <w:bCs/>
          <w:sz w:val="24"/>
          <w:szCs w:val="24"/>
          <w:highlight w:val="none"/>
        </w:rPr>
        <w:tab/>
      </w:r>
      <w:r>
        <w:rPr>
          <w:b w:val="0"/>
          <w:bCs/>
          <w:sz w:val="24"/>
          <w:szCs w:val="24"/>
          <w:highlight w:val="none"/>
        </w:rPr>
        <w:fldChar w:fldCharType="begin"/>
      </w:r>
      <w:r>
        <w:rPr>
          <w:b w:val="0"/>
          <w:bCs/>
          <w:sz w:val="24"/>
          <w:szCs w:val="24"/>
          <w:highlight w:val="none"/>
        </w:rPr>
        <w:instrText xml:space="preserve"> PAGEREF _Toc29196 \h </w:instrText>
      </w:r>
      <w:r>
        <w:rPr>
          <w:b w:val="0"/>
          <w:bCs/>
          <w:sz w:val="24"/>
          <w:szCs w:val="24"/>
          <w:highlight w:val="none"/>
        </w:rPr>
        <w:fldChar w:fldCharType="separate"/>
      </w:r>
      <w:r>
        <w:rPr>
          <w:b w:val="0"/>
          <w:bCs/>
          <w:sz w:val="24"/>
          <w:szCs w:val="24"/>
          <w:highlight w:val="none"/>
        </w:rPr>
        <w:t>23</w:t>
      </w:r>
      <w:r>
        <w:rPr>
          <w:b w:val="0"/>
          <w:bCs/>
          <w:sz w:val="24"/>
          <w:szCs w:val="24"/>
          <w:highlight w:val="none"/>
        </w:rPr>
        <w:fldChar w:fldCharType="end"/>
      </w:r>
      <w:r>
        <w:rPr>
          <w:b w:val="0"/>
          <w:bCs/>
          <w:color w:val="auto"/>
          <w:sz w:val="24"/>
          <w:szCs w:val="24"/>
          <w:highlight w:val="none"/>
        </w:rPr>
        <w:fldChar w:fldCharType="end"/>
      </w:r>
    </w:p>
    <w:p>
      <w:pPr>
        <w:pStyle w:val="19"/>
        <w:tabs>
          <w:tab w:val="right" w:leader="dot" w:pos="9026"/>
          <w:tab w:val="clear" w:pos="9016"/>
        </w:tabs>
        <w:rPr>
          <w:b w:val="0"/>
          <w:bCs/>
          <w:sz w:val="24"/>
          <w:szCs w:val="24"/>
          <w:highlight w:val="none"/>
        </w:rPr>
      </w:pPr>
      <w:r>
        <w:rPr>
          <w:b w:val="0"/>
          <w:bCs/>
          <w:color w:val="auto"/>
          <w:sz w:val="24"/>
          <w:szCs w:val="24"/>
          <w:highlight w:val="none"/>
        </w:rPr>
        <w:fldChar w:fldCharType="begin"/>
      </w:r>
      <w:r>
        <w:rPr>
          <w:b w:val="0"/>
          <w:bCs/>
          <w:sz w:val="24"/>
          <w:szCs w:val="24"/>
          <w:highlight w:val="none"/>
        </w:rPr>
        <w:instrText xml:space="preserve"> HYPERLINK \l _Toc6324 </w:instrText>
      </w:r>
      <w:r>
        <w:rPr>
          <w:b w:val="0"/>
          <w:bCs/>
          <w:sz w:val="24"/>
          <w:szCs w:val="24"/>
          <w:highlight w:val="none"/>
        </w:rPr>
        <w:fldChar w:fldCharType="separate"/>
      </w:r>
      <w:r>
        <w:rPr>
          <w:b w:val="0"/>
          <w:bCs/>
          <w:sz w:val="24"/>
          <w:szCs w:val="24"/>
          <w:highlight w:val="none"/>
        </w:rPr>
        <w:t xml:space="preserve">5.3  </w:t>
      </w:r>
      <w:r>
        <w:rPr>
          <w:rFonts w:hint="eastAsia"/>
          <w:b w:val="0"/>
          <w:bCs/>
          <w:sz w:val="24"/>
          <w:szCs w:val="24"/>
          <w:highlight w:val="none"/>
        </w:rPr>
        <w:t>系统热工设计</w:t>
      </w:r>
      <w:r>
        <w:rPr>
          <w:b w:val="0"/>
          <w:bCs/>
          <w:sz w:val="24"/>
          <w:szCs w:val="24"/>
          <w:highlight w:val="none"/>
        </w:rPr>
        <w:tab/>
      </w:r>
      <w:r>
        <w:rPr>
          <w:b w:val="0"/>
          <w:bCs/>
          <w:sz w:val="24"/>
          <w:szCs w:val="24"/>
          <w:highlight w:val="none"/>
        </w:rPr>
        <w:fldChar w:fldCharType="begin"/>
      </w:r>
      <w:r>
        <w:rPr>
          <w:b w:val="0"/>
          <w:bCs/>
          <w:sz w:val="24"/>
          <w:szCs w:val="24"/>
          <w:highlight w:val="none"/>
        </w:rPr>
        <w:instrText xml:space="preserve"> PAGEREF _Toc6324 \h </w:instrText>
      </w:r>
      <w:r>
        <w:rPr>
          <w:b w:val="0"/>
          <w:bCs/>
          <w:sz w:val="24"/>
          <w:szCs w:val="24"/>
          <w:highlight w:val="none"/>
        </w:rPr>
        <w:fldChar w:fldCharType="separate"/>
      </w:r>
      <w:r>
        <w:rPr>
          <w:b w:val="0"/>
          <w:bCs/>
          <w:sz w:val="24"/>
          <w:szCs w:val="24"/>
          <w:highlight w:val="none"/>
        </w:rPr>
        <w:t>29</w:t>
      </w:r>
      <w:r>
        <w:rPr>
          <w:b w:val="0"/>
          <w:bCs/>
          <w:sz w:val="24"/>
          <w:szCs w:val="24"/>
          <w:highlight w:val="none"/>
        </w:rPr>
        <w:fldChar w:fldCharType="end"/>
      </w:r>
      <w:r>
        <w:rPr>
          <w:b w:val="0"/>
          <w:bCs/>
          <w:color w:val="auto"/>
          <w:sz w:val="24"/>
          <w:szCs w:val="24"/>
          <w:highlight w:val="none"/>
        </w:rPr>
        <w:fldChar w:fldCharType="end"/>
      </w:r>
    </w:p>
    <w:p>
      <w:pPr>
        <w:pStyle w:val="17"/>
        <w:tabs>
          <w:tab w:val="right" w:leader="dot" w:pos="9026"/>
          <w:tab w:val="clear" w:pos="9016"/>
        </w:tabs>
        <w:rPr>
          <w:b w:val="0"/>
          <w:bCs/>
          <w:sz w:val="24"/>
          <w:szCs w:val="24"/>
          <w:highlight w:val="none"/>
        </w:rPr>
      </w:pPr>
      <w:r>
        <w:rPr>
          <w:b w:val="0"/>
          <w:bCs/>
          <w:color w:val="auto"/>
          <w:sz w:val="24"/>
          <w:szCs w:val="24"/>
          <w:highlight w:val="none"/>
        </w:rPr>
        <w:fldChar w:fldCharType="begin"/>
      </w:r>
      <w:r>
        <w:rPr>
          <w:b w:val="0"/>
          <w:bCs/>
          <w:sz w:val="24"/>
          <w:szCs w:val="24"/>
          <w:highlight w:val="none"/>
        </w:rPr>
        <w:instrText xml:space="preserve"> HYPERLINK \l _Toc22639 </w:instrText>
      </w:r>
      <w:r>
        <w:rPr>
          <w:b w:val="0"/>
          <w:bCs/>
          <w:sz w:val="24"/>
          <w:szCs w:val="24"/>
          <w:highlight w:val="none"/>
        </w:rPr>
        <w:fldChar w:fldCharType="separate"/>
      </w:r>
      <w:r>
        <w:rPr>
          <w:b w:val="0"/>
          <w:bCs/>
          <w:sz w:val="24"/>
          <w:szCs w:val="24"/>
          <w:highlight w:val="none"/>
        </w:rPr>
        <w:t xml:space="preserve">6 </w:t>
      </w:r>
      <w:r>
        <w:rPr>
          <w:rFonts w:hint="eastAsia"/>
          <w:b w:val="0"/>
          <w:bCs/>
          <w:sz w:val="24"/>
          <w:szCs w:val="24"/>
          <w:highlight w:val="none"/>
        </w:rPr>
        <w:t>施工</w:t>
      </w:r>
      <w:r>
        <w:rPr>
          <w:b w:val="0"/>
          <w:bCs/>
          <w:sz w:val="24"/>
          <w:szCs w:val="24"/>
          <w:highlight w:val="none"/>
        </w:rPr>
        <w:tab/>
      </w:r>
      <w:r>
        <w:rPr>
          <w:b w:val="0"/>
          <w:bCs/>
          <w:sz w:val="24"/>
          <w:szCs w:val="24"/>
          <w:highlight w:val="none"/>
        </w:rPr>
        <w:fldChar w:fldCharType="begin"/>
      </w:r>
      <w:r>
        <w:rPr>
          <w:b w:val="0"/>
          <w:bCs/>
          <w:sz w:val="24"/>
          <w:szCs w:val="24"/>
          <w:highlight w:val="none"/>
        </w:rPr>
        <w:instrText xml:space="preserve"> PAGEREF _Toc22639 \h </w:instrText>
      </w:r>
      <w:r>
        <w:rPr>
          <w:b w:val="0"/>
          <w:bCs/>
          <w:sz w:val="24"/>
          <w:szCs w:val="24"/>
          <w:highlight w:val="none"/>
        </w:rPr>
        <w:fldChar w:fldCharType="separate"/>
      </w:r>
      <w:r>
        <w:rPr>
          <w:b w:val="0"/>
          <w:bCs/>
          <w:sz w:val="24"/>
          <w:szCs w:val="24"/>
          <w:highlight w:val="none"/>
        </w:rPr>
        <w:t>30</w:t>
      </w:r>
      <w:r>
        <w:rPr>
          <w:b w:val="0"/>
          <w:bCs/>
          <w:sz w:val="24"/>
          <w:szCs w:val="24"/>
          <w:highlight w:val="none"/>
        </w:rPr>
        <w:fldChar w:fldCharType="end"/>
      </w:r>
      <w:r>
        <w:rPr>
          <w:b w:val="0"/>
          <w:bCs/>
          <w:color w:val="auto"/>
          <w:sz w:val="24"/>
          <w:szCs w:val="24"/>
          <w:highlight w:val="none"/>
        </w:rPr>
        <w:fldChar w:fldCharType="end"/>
      </w:r>
    </w:p>
    <w:p>
      <w:pPr>
        <w:pStyle w:val="19"/>
        <w:tabs>
          <w:tab w:val="right" w:leader="dot" w:pos="9026"/>
          <w:tab w:val="clear" w:pos="9016"/>
        </w:tabs>
        <w:rPr>
          <w:b w:val="0"/>
          <w:bCs/>
          <w:sz w:val="24"/>
          <w:szCs w:val="24"/>
          <w:highlight w:val="none"/>
        </w:rPr>
      </w:pPr>
      <w:r>
        <w:rPr>
          <w:b w:val="0"/>
          <w:bCs/>
          <w:color w:val="auto"/>
          <w:sz w:val="24"/>
          <w:szCs w:val="24"/>
          <w:highlight w:val="none"/>
        </w:rPr>
        <w:fldChar w:fldCharType="begin"/>
      </w:r>
      <w:r>
        <w:rPr>
          <w:b w:val="0"/>
          <w:bCs/>
          <w:sz w:val="24"/>
          <w:szCs w:val="24"/>
          <w:highlight w:val="none"/>
        </w:rPr>
        <w:instrText xml:space="preserve"> HYPERLINK \l _Toc26648 </w:instrText>
      </w:r>
      <w:r>
        <w:rPr>
          <w:b w:val="0"/>
          <w:bCs/>
          <w:sz w:val="24"/>
          <w:szCs w:val="24"/>
          <w:highlight w:val="none"/>
        </w:rPr>
        <w:fldChar w:fldCharType="separate"/>
      </w:r>
      <w:r>
        <w:rPr>
          <w:b w:val="0"/>
          <w:bCs/>
          <w:sz w:val="24"/>
          <w:szCs w:val="24"/>
          <w:highlight w:val="none"/>
        </w:rPr>
        <w:t xml:space="preserve">6.1  </w:t>
      </w:r>
      <w:r>
        <w:rPr>
          <w:rFonts w:hint="eastAsia"/>
          <w:b w:val="0"/>
          <w:bCs/>
          <w:sz w:val="24"/>
          <w:szCs w:val="24"/>
          <w:highlight w:val="none"/>
        </w:rPr>
        <w:t>一般规定</w:t>
      </w:r>
      <w:r>
        <w:rPr>
          <w:b w:val="0"/>
          <w:bCs/>
          <w:sz w:val="24"/>
          <w:szCs w:val="24"/>
          <w:highlight w:val="none"/>
        </w:rPr>
        <w:tab/>
      </w:r>
      <w:r>
        <w:rPr>
          <w:b w:val="0"/>
          <w:bCs/>
          <w:sz w:val="24"/>
          <w:szCs w:val="24"/>
          <w:highlight w:val="none"/>
        </w:rPr>
        <w:fldChar w:fldCharType="begin"/>
      </w:r>
      <w:r>
        <w:rPr>
          <w:b w:val="0"/>
          <w:bCs/>
          <w:sz w:val="24"/>
          <w:szCs w:val="24"/>
          <w:highlight w:val="none"/>
        </w:rPr>
        <w:instrText xml:space="preserve"> PAGEREF _Toc26648 \h </w:instrText>
      </w:r>
      <w:r>
        <w:rPr>
          <w:b w:val="0"/>
          <w:bCs/>
          <w:sz w:val="24"/>
          <w:szCs w:val="24"/>
          <w:highlight w:val="none"/>
        </w:rPr>
        <w:fldChar w:fldCharType="separate"/>
      </w:r>
      <w:r>
        <w:rPr>
          <w:b w:val="0"/>
          <w:bCs/>
          <w:sz w:val="24"/>
          <w:szCs w:val="24"/>
          <w:highlight w:val="none"/>
        </w:rPr>
        <w:t>30</w:t>
      </w:r>
      <w:r>
        <w:rPr>
          <w:b w:val="0"/>
          <w:bCs/>
          <w:sz w:val="24"/>
          <w:szCs w:val="24"/>
          <w:highlight w:val="none"/>
        </w:rPr>
        <w:fldChar w:fldCharType="end"/>
      </w:r>
      <w:r>
        <w:rPr>
          <w:b w:val="0"/>
          <w:bCs/>
          <w:color w:val="auto"/>
          <w:sz w:val="24"/>
          <w:szCs w:val="24"/>
          <w:highlight w:val="none"/>
        </w:rPr>
        <w:fldChar w:fldCharType="end"/>
      </w:r>
    </w:p>
    <w:p>
      <w:pPr>
        <w:pStyle w:val="19"/>
        <w:tabs>
          <w:tab w:val="right" w:leader="dot" w:pos="9026"/>
          <w:tab w:val="clear" w:pos="9016"/>
        </w:tabs>
        <w:rPr>
          <w:b w:val="0"/>
          <w:bCs/>
          <w:sz w:val="24"/>
          <w:szCs w:val="24"/>
          <w:highlight w:val="none"/>
        </w:rPr>
      </w:pPr>
      <w:r>
        <w:rPr>
          <w:b w:val="0"/>
          <w:bCs/>
          <w:color w:val="auto"/>
          <w:sz w:val="24"/>
          <w:szCs w:val="24"/>
          <w:highlight w:val="none"/>
        </w:rPr>
        <w:fldChar w:fldCharType="begin"/>
      </w:r>
      <w:r>
        <w:rPr>
          <w:b w:val="0"/>
          <w:bCs/>
          <w:sz w:val="24"/>
          <w:szCs w:val="24"/>
          <w:highlight w:val="none"/>
        </w:rPr>
        <w:instrText xml:space="preserve"> HYPERLINK \l _Toc20158 </w:instrText>
      </w:r>
      <w:r>
        <w:rPr>
          <w:b w:val="0"/>
          <w:bCs/>
          <w:sz w:val="24"/>
          <w:szCs w:val="24"/>
          <w:highlight w:val="none"/>
        </w:rPr>
        <w:fldChar w:fldCharType="separate"/>
      </w:r>
      <w:r>
        <w:rPr>
          <w:b w:val="0"/>
          <w:bCs/>
          <w:sz w:val="24"/>
          <w:szCs w:val="24"/>
          <w:highlight w:val="none"/>
        </w:rPr>
        <w:t xml:space="preserve">6.2  </w:t>
      </w:r>
      <w:r>
        <w:rPr>
          <w:rFonts w:hint="eastAsia"/>
          <w:b w:val="0"/>
          <w:bCs/>
          <w:sz w:val="24"/>
          <w:szCs w:val="24"/>
          <w:highlight w:val="none"/>
        </w:rPr>
        <w:t>施工工序及要点</w:t>
      </w:r>
      <w:r>
        <w:rPr>
          <w:b w:val="0"/>
          <w:bCs/>
          <w:sz w:val="24"/>
          <w:szCs w:val="24"/>
          <w:highlight w:val="none"/>
        </w:rPr>
        <w:tab/>
      </w:r>
      <w:r>
        <w:rPr>
          <w:b w:val="0"/>
          <w:bCs/>
          <w:sz w:val="24"/>
          <w:szCs w:val="24"/>
          <w:highlight w:val="none"/>
        </w:rPr>
        <w:fldChar w:fldCharType="begin"/>
      </w:r>
      <w:r>
        <w:rPr>
          <w:b w:val="0"/>
          <w:bCs/>
          <w:sz w:val="24"/>
          <w:szCs w:val="24"/>
          <w:highlight w:val="none"/>
        </w:rPr>
        <w:instrText xml:space="preserve"> PAGEREF _Toc20158 \h </w:instrText>
      </w:r>
      <w:r>
        <w:rPr>
          <w:b w:val="0"/>
          <w:bCs/>
          <w:sz w:val="24"/>
          <w:szCs w:val="24"/>
          <w:highlight w:val="none"/>
        </w:rPr>
        <w:fldChar w:fldCharType="separate"/>
      </w:r>
      <w:r>
        <w:rPr>
          <w:b w:val="0"/>
          <w:bCs/>
          <w:sz w:val="24"/>
          <w:szCs w:val="24"/>
          <w:highlight w:val="none"/>
        </w:rPr>
        <w:t>31</w:t>
      </w:r>
      <w:r>
        <w:rPr>
          <w:b w:val="0"/>
          <w:bCs/>
          <w:sz w:val="24"/>
          <w:szCs w:val="24"/>
          <w:highlight w:val="none"/>
        </w:rPr>
        <w:fldChar w:fldCharType="end"/>
      </w:r>
      <w:r>
        <w:rPr>
          <w:b w:val="0"/>
          <w:bCs/>
          <w:color w:val="auto"/>
          <w:sz w:val="24"/>
          <w:szCs w:val="24"/>
          <w:highlight w:val="none"/>
        </w:rPr>
        <w:fldChar w:fldCharType="end"/>
      </w:r>
    </w:p>
    <w:p>
      <w:pPr>
        <w:pStyle w:val="19"/>
        <w:tabs>
          <w:tab w:val="right" w:leader="dot" w:pos="9026"/>
          <w:tab w:val="clear" w:pos="9016"/>
        </w:tabs>
        <w:rPr>
          <w:b w:val="0"/>
          <w:bCs/>
          <w:sz w:val="24"/>
          <w:szCs w:val="24"/>
          <w:highlight w:val="none"/>
        </w:rPr>
      </w:pPr>
      <w:r>
        <w:rPr>
          <w:b w:val="0"/>
          <w:bCs/>
          <w:color w:val="auto"/>
          <w:sz w:val="24"/>
          <w:szCs w:val="24"/>
          <w:highlight w:val="none"/>
        </w:rPr>
        <w:fldChar w:fldCharType="begin"/>
      </w:r>
      <w:r>
        <w:rPr>
          <w:b w:val="0"/>
          <w:bCs/>
          <w:sz w:val="24"/>
          <w:szCs w:val="24"/>
          <w:highlight w:val="none"/>
        </w:rPr>
        <w:instrText xml:space="preserve"> HYPERLINK \l _Toc4955 </w:instrText>
      </w:r>
      <w:r>
        <w:rPr>
          <w:b w:val="0"/>
          <w:bCs/>
          <w:sz w:val="24"/>
          <w:szCs w:val="24"/>
          <w:highlight w:val="none"/>
        </w:rPr>
        <w:fldChar w:fldCharType="separate"/>
      </w:r>
      <w:r>
        <w:rPr>
          <w:b w:val="0"/>
          <w:bCs/>
          <w:sz w:val="24"/>
          <w:szCs w:val="24"/>
          <w:highlight w:val="none"/>
        </w:rPr>
        <w:t>6.</w:t>
      </w:r>
      <w:r>
        <w:rPr>
          <w:rFonts w:hint="eastAsia"/>
          <w:b w:val="0"/>
          <w:bCs/>
          <w:sz w:val="24"/>
          <w:szCs w:val="24"/>
          <w:highlight w:val="none"/>
          <w:lang w:val="en-US" w:eastAsia="zh-CN"/>
        </w:rPr>
        <w:t>3</w:t>
      </w:r>
      <w:r>
        <w:rPr>
          <w:b w:val="0"/>
          <w:bCs/>
          <w:sz w:val="24"/>
          <w:szCs w:val="24"/>
          <w:highlight w:val="none"/>
        </w:rPr>
        <w:t xml:space="preserve">  </w:t>
      </w:r>
      <w:r>
        <w:rPr>
          <w:rFonts w:hint="eastAsia"/>
          <w:b w:val="0"/>
          <w:bCs/>
          <w:sz w:val="24"/>
          <w:szCs w:val="24"/>
          <w:highlight w:val="none"/>
        </w:rPr>
        <w:t>施工</w:t>
      </w:r>
      <w:r>
        <w:rPr>
          <w:rFonts w:hint="eastAsia"/>
          <w:b w:val="0"/>
          <w:bCs/>
          <w:sz w:val="24"/>
          <w:szCs w:val="24"/>
          <w:highlight w:val="none"/>
          <w:lang w:val="en-US" w:eastAsia="zh-CN"/>
        </w:rPr>
        <w:t>安全</w:t>
      </w:r>
      <w:r>
        <w:rPr>
          <w:b w:val="0"/>
          <w:bCs/>
          <w:sz w:val="24"/>
          <w:szCs w:val="24"/>
          <w:highlight w:val="none"/>
        </w:rPr>
        <w:tab/>
      </w:r>
      <w:r>
        <w:rPr>
          <w:b w:val="0"/>
          <w:bCs/>
          <w:sz w:val="24"/>
          <w:szCs w:val="24"/>
          <w:highlight w:val="none"/>
        </w:rPr>
        <w:fldChar w:fldCharType="begin"/>
      </w:r>
      <w:r>
        <w:rPr>
          <w:b w:val="0"/>
          <w:bCs/>
          <w:sz w:val="24"/>
          <w:szCs w:val="24"/>
          <w:highlight w:val="none"/>
        </w:rPr>
        <w:instrText xml:space="preserve"> PAGEREF _Toc4955 \h </w:instrText>
      </w:r>
      <w:r>
        <w:rPr>
          <w:b w:val="0"/>
          <w:bCs/>
          <w:sz w:val="24"/>
          <w:szCs w:val="24"/>
          <w:highlight w:val="none"/>
        </w:rPr>
        <w:fldChar w:fldCharType="separate"/>
      </w:r>
      <w:r>
        <w:rPr>
          <w:b w:val="0"/>
          <w:bCs/>
          <w:sz w:val="24"/>
          <w:szCs w:val="24"/>
          <w:highlight w:val="none"/>
        </w:rPr>
        <w:t>34</w:t>
      </w:r>
      <w:r>
        <w:rPr>
          <w:b w:val="0"/>
          <w:bCs/>
          <w:sz w:val="24"/>
          <w:szCs w:val="24"/>
          <w:highlight w:val="none"/>
        </w:rPr>
        <w:fldChar w:fldCharType="end"/>
      </w:r>
      <w:r>
        <w:rPr>
          <w:b w:val="0"/>
          <w:bCs/>
          <w:color w:val="auto"/>
          <w:sz w:val="24"/>
          <w:szCs w:val="24"/>
          <w:highlight w:val="none"/>
        </w:rPr>
        <w:fldChar w:fldCharType="end"/>
      </w:r>
    </w:p>
    <w:p>
      <w:pPr>
        <w:pStyle w:val="17"/>
        <w:tabs>
          <w:tab w:val="right" w:leader="dot" w:pos="9026"/>
          <w:tab w:val="clear" w:pos="9016"/>
        </w:tabs>
        <w:rPr>
          <w:b w:val="0"/>
          <w:bCs/>
          <w:sz w:val="24"/>
          <w:szCs w:val="24"/>
          <w:highlight w:val="none"/>
        </w:rPr>
      </w:pPr>
      <w:r>
        <w:rPr>
          <w:b w:val="0"/>
          <w:bCs/>
          <w:color w:val="auto"/>
          <w:sz w:val="24"/>
          <w:szCs w:val="24"/>
          <w:highlight w:val="none"/>
        </w:rPr>
        <w:fldChar w:fldCharType="begin"/>
      </w:r>
      <w:r>
        <w:rPr>
          <w:b w:val="0"/>
          <w:bCs/>
          <w:sz w:val="24"/>
          <w:szCs w:val="24"/>
          <w:highlight w:val="none"/>
        </w:rPr>
        <w:instrText xml:space="preserve"> HYPERLINK \l _Toc28545 </w:instrText>
      </w:r>
      <w:r>
        <w:rPr>
          <w:b w:val="0"/>
          <w:bCs/>
          <w:sz w:val="24"/>
          <w:szCs w:val="24"/>
          <w:highlight w:val="none"/>
        </w:rPr>
        <w:fldChar w:fldCharType="separate"/>
      </w:r>
      <w:r>
        <w:rPr>
          <w:rFonts w:hint="eastAsia"/>
          <w:b w:val="0"/>
          <w:bCs/>
          <w:sz w:val="24"/>
          <w:szCs w:val="24"/>
          <w:highlight w:val="none"/>
        </w:rPr>
        <w:t>7</w:t>
      </w:r>
      <w:r>
        <w:rPr>
          <w:b w:val="0"/>
          <w:bCs/>
          <w:sz w:val="24"/>
          <w:szCs w:val="24"/>
          <w:highlight w:val="none"/>
        </w:rPr>
        <w:t xml:space="preserve">  </w:t>
      </w:r>
      <w:r>
        <w:rPr>
          <w:rFonts w:hint="eastAsia"/>
          <w:b w:val="0"/>
          <w:bCs/>
          <w:sz w:val="24"/>
          <w:szCs w:val="24"/>
          <w:highlight w:val="none"/>
        </w:rPr>
        <w:t>验收</w:t>
      </w:r>
      <w:r>
        <w:rPr>
          <w:b w:val="0"/>
          <w:bCs/>
          <w:sz w:val="24"/>
          <w:szCs w:val="24"/>
          <w:highlight w:val="none"/>
        </w:rPr>
        <w:tab/>
      </w:r>
      <w:r>
        <w:rPr>
          <w:b w:val="0"/>
          <w:bCs/>
          <w:sz w:val="24"/>
          <w:szCs w:val="24"/>
          <w:highlight w:val="none"/>
        </w:rPr>
        <w:fldChar w:fldCharType="begin"/>
      </w:r>
      <w:r>
        <w:rPr>
          <w:b w:val="0"/>
          <w:bCs/>
          <w:sz w:val="24"/>
          <w:szCs w:val="24"/>
          <w:highlight w:val="none"/>
        </w:rPr>
        <w:instrText xml:space="preserve"> PAGEREF _Toc28545 \h </w:instrText>
      </w:r>
      <w:r>
        <w:rPr>
          <w:b w:val="0"/>
          <w:bCs/>
          <w:sz w:val="24"/>
          <w:szCs w:val="24"/>
          <w:highlight w:val="none"/>
        </w:rPr>
        <w:fldChar w:fldCharType="separate"/>
      </w:r>
      <w:r>
        <w:rPr>
          <w:b w:val="0"/>
          <w:bCs/>
          <w:sz w:val="24"/>
          <w:szCs w:val="24"/>
          <w:highlight w:val="none"/>
        </w:rPr>
        <w:t>36</w:t>
      </w:r>
      <w:r>
        <w:rPr>
          <w:b w:val="0"/>
          <w:bCs/>
          <w:sz w:val="24"/>
          <w:szCs w:val="24"/>
          <w:highlight w:val="none"/>
        </w:rPr>
        <w:fldChar w:fldCharType="end"/>
      </w:r>
      <w:r>
        <w:rPr>
          <w:b w:val="0"/>
          <w:bCs/>
          <w:color w:val="auto"/>
          <w:sz w:val="24"/>
          <w:szCs w:val="24"/>
          <w:highlight w:val="none"/>
        </w:rPr>
        <w:fldChar w:fldCharType="end"/>
      </w:r>
    </w:p>
    <w:p>
      <w:pPr>
        <w:pStyle w:val="19"/>
        <w:tabs>
          <w:tab w:val="right" w:leader="dot" w:pos="9026"/>
          <w:tab w:val="clear" w:pos="9016"/>
        </w:tabs>
        <w:rPr>
          <w:b w:val="0"/>
          <w:bCs/>
          <w:sz w:val="24"/>
          <w:szCs w:val="24"/>
          <w:highlight w:val="none"/>
        </w:rPr>
      </w:pPr>
      <w:r>
        <w:rPr>
          <w:b w:val="0"/>
          <w:bCs/>
          <w:color w:val="auto"/>
          <w:sz w:val="24"/>
          <w:szCs w:val="24"/>
          <w:highlight w:val="none"/>
        </w:rPr>
        <w:fldChar w:fldCharType="begin"/>
      </w:r>
      <w:r>
        <w:rPr>
          <w:b w:val="0"/>
          <w:bCs/>
          <w:sz w:val="24"/>
          <w:szCs w:val="24"/>
          <w:highlight w:val="none"/>
        </w:rPr>
        <w:instrText xml:space="preserve"> HYPERLINK \l _Toc25099 </w:instrText>
      </w:r>
      <w:r>
        <w:rPr>
          <w:b w:val="0"/>
          <w:bCs/>
          <w:sz w:val="24"/>
          <w:szCs w:val="24"/>
          <w:highlight w:val="none"/>
        </w:rPr>
        <w:fldChar w:fldCharType="separate"/>
      </w:r>
      <w:r>
        <w:rPr>
          <w:rFonts w:hint="eastAsia"/>
          <w:b w:val="0"/>
          <w:bCs/>
          <w:sz w:val="24"/>
          <w:szCs w:val="24"/>
          <w:highlight w:val="none"/>
        </w:rPr>
        <w:t>7.1一般规定</w:t>
      </w:r>
      <w:r>
        <w:rPr>
          <w:b w:val="0"/>
          <w:bCs/>
          <w:sz w:val="24"/>
          <w:szCs w:val="24"/>
          <w:highlight w:val="none"/>
        </w:rPr>
        <w:tab/>
      </w:r>
      <w:r>
        <w:rPr>
          <w:b w:val="0"/>
          <w:bCs/>
          <w:sz w:val="24"/>
          <w:szCs w:val="24"/>
          <w:highlight w:val="none"/>
        </w:rPr>
        <w:fldChar w:fldCharType="begin"/>
      </w:r>
      <w:r>
        <w:rPr>
          <w:b w:val="0"/>
          <w:bCs/>
          <w:sz w:val="24"/>
          <w:szCs w:val="24"/>
          <w:highlight w:val="none"/>
        </w:rPr>
        <w:instrText xml:space="preserve"> PAGEREF _Toc25099 \h </w:instrText>
      </w:r>
      <w:r>
        <w:rPr>
          <w:b w:val="0"/>
          <w:bCs/>
          <w:sz w:val="24"/>
          <w:szCs w:val="24"/>
          <w:highlight w:val="none"/>
        </w:rPr>
        <w:fldChar w:fldCharType="separate"/>
      </w:r>
      <w:r>
        <w:rPr>
          <w:b w:val="0"/>
          <w:bCs/>
          <w:sz w:val="24"/>
          <w:szCs w:val="24"/>
          <w:highlight w:val="none"/>
        </w:rPr>
        <w:t>36</w:t>
      </w:r>
      <w:r>
        <w:rPr>
          <w:b w:val="0"/>
          <w:bCs/>
          <w:sz w:val="24"/>
          <w:szCs w:val="24"/>
          <w:highlight w:val="none"/>
        </w:rPr>
        <w:fldChar w:fldCharType="end"/>
      </w:r>
      <w:r>
        <w:rPr>
          <w:b w:val="0"/>
          <w:bCs/>
          <w:color w:val="auto"/>
          <w:sz w:val="24"/>
          <w:szCs w:val="24"/>
          <w:highlight w:val="none"/>
        </w:rPr>
        <w:fldChar w:fldCharType="end"/>
      </w:r>
    </w:p>
    <w:p>
      <w:pPr>
        <w:pStyle w:val="19"/>
        <w:tabs>
          <w:tab w:val="right" w:leader="dot" w:pos="9026"/>
          <w:tab w:val="clear" w:pos="9016"/>
        </w:tabs>
        <w:rPr>
          <w:b w:val="0"/>
          <w:bCs/>
          <w:sz w:val="24"/>
          <w:szCs w:val="24"/>
          <w:highlight w:val="none"/>
        </w:rPr>
      </w:pPr>
      <w:r>
        <w:rPr>
          <w:b w:val="0"/>
          <w:bCs/>
          <w:color w:val="auto"/>
          <w:sz w:val="24"/>
          <w:szCs w:val="24"/>
          <w:highlight w:val="none"/>
        </w:rPr>
        <w:fldChar w:fldCharType="begin"/>
      </w:r>
      <w:r>
        <w:rPr>
          <w:b w:val="0"/>
          <w:bCs/>
          <w:sz w:val="24"/>
          <w:szCs w:val="24"/>
          <w:highlight w:val="none"/>
        </w:rPr>
        <w:instrText xml:space="preserve"> HYPERLINK \l _Toc9901 </w:instrText>
      </w:r>
      <w:r>
        <w:rPr>
          <w:b w:val="0"/>
          <w:bCs/>
          <w:sz w:val="24"/>
          <w:szCs w:val="24"/>
          <w:highlight w:val="none"/>
        </w:rPr>
        <w:fldChar w:fldCharType="separate"/>
      </w:r>
      <w:r>
        <w:rPr>
          <w:rFonts w:hint="eastAsia"/>
          <w:b w:val="0"/>
          <w:bCs/>
          <w:sz w:val="24"/>
          <w:szCs w:val="24"/>
          <w:highlight w:val="none"/>
        </w:rPr>
        <w:t>7.2</w:t>
      </w:r>
      <w:r>
        <w:rPr>
          <w:b w:val="0"/>
          <w:bCs/>
          <w:sz w:val="24"/>
          <w:szCs w:val="24"/>
          <w:highlight w:val="none"/>
        </w:rPr>
        <w:t xml:space="preserve">  </w:t>
      </w:r>
      <w:r>
        <w:rPr>
          <w:rFonts w:hint="eastAsia"/>
          <w:b w:val="0"/>
          <w:bCs/>
          <w:sz w:val="24"/>
          <w:szCs w:val="24"/>
          <w:highlight w:val="none"/>
        </w:rPr>
        <w:t>主控项目</w:t>
      </w:r>
      <w:r>
        <w:rPr>
          <w:b w:val="0"/>
          <w:bCs/>
          <w:sz w:val="24"/>
          <w:szCs w:val="24"/>
          <w:highlight w:val="none"/>
        </w:rPr>
        <w:tab/>
      </w:r>
      <w:r>
        <w:rPr>
          <w:b w:val="0"/>
          <w:bCs/>
          <w:sz w:val="24"/>
          <w:szCs w:val="24"/>
          <w:highlight w:val="none"/>
        </w:rPr>
        <w:fldChar w:fldCharType="begin"/>
      </w:r>
      <w:r>
        <w:rPr>
          <w:b w:val="0"/>
          <w:bCs/>
          <w:sz w:val="24"/>
          <w:szCs w:val="24"/>
          <w:highlight w:val="none"/>
        </w:rPr>
        <w:instrText xml:space="preserve"> PAGEREF _Toc9901 \h </w:instrText>
      </w:r>
      <w:r>
        <w:rPr>
          <w:b w:val="0"/>
          <w:bCs/>
          <w:sz w:val="24"/>
          <w:szCs w:val="24"/>
          <w:highlight w:val="none"/>
        </w:rPr>
        <w:fldChar w:fldCharType="separate"/>
      </w:r>
      <w:r>
        <w:rPr>
          <w:b w:val="0"/>
          <w:bCs/>
          <w:sz w:val="24"/>
          <w:szCs w:val="24"/>
          <w:highlight w:val="none"/>
        </w:rPr>
        <w:t>37</w:t>
      </w:r>
      <w:r>
        <w:rPr>
          <w:b w:val="0"/>
          <w:bCs/>
          <w:sz w:val="24"/>
          <w:szCs w:val="24"/>
          <w:highlight w:val="none"/>
        </w:rPr>
        <w:fldChar w:fldCharType="end"/>
      </w:r>
      <w:r>
        <w:rPr>
          <w:b w:val="0"/>
          <w:bCs/>
          <w:color w:val="auto"/>
          <w:sz w:val="24"/>
          <w:szCs w:val="24"/>
          <w:highlight w:val="none"/>
        </w:rPr>
        <w:fldChar w:fldCharType="end"/>
      </w:r>
    </w:p>
    <w:p>
      <w:pPr>
        <w:pStyle w:val="19"/>
        <w:tabs>
          <w:tab w:val="right" w:leader="dot" w:pos="9026"/>
          <w:tab w:val="clear" w:pos="9016"/>
        </w:tabs>
        <w:rPr>
          <w:b w:val="0"/>
          <w:bCs/>
          <w:sz w:val="24"/>
          <w:szCs w:val="24"/>
          <w:highlight w:val="none"/>
        </w:rPr>
      </w:pPr>
      <w:r>
        <w:rPr>
          <w:b w:val="0"/>
          <w:bCs/>
          <w:color w:val="auto"/>
          <w:sz w:val="24"/>
          <w:szCs w:val="24"/>
          <w:highlight w:val="none"/>
        </w:rPr>
        <w:fldChar w:fldCharType="begin"/>
      </w:r>
      <w:r>
        <w:rPr>
          <w:b w:val="0"/>
          <w:bCs/>
          <w:sz w:val="24"/>
          <w:szCs w:val="24"/>
          <w:highlight w:val="none"/>
        </w:rPr>
        <w:instrText xml:space="preserve"> HYPERLINK \l _Toc12405 </w:instrText>
      </w:r>
      <w:r>
        <w:rPr>
          <w:b w:val="0"/>
          <w:bCs/>
          <w:sz w:val="24"/>
          <w:szCs w:val="24"/>
          <w:highlight w:val="none"/>
        </w:rPr>
        <w:fldChar w:fldCharType="separate"/>
      </w:r>
      <w:r>
        <w:rPr>
          <w:rFonts w:hint="eastAsia"/>
          <w:b w:val="0"/>
          <w:bCs/>
          <w:sz w:val="24"/>
          <w:szCs w:val="24"/>
          <w:highlight w:val="none"/>
        </w:rPr>
        <w:t>7.3</w:t>
      </w:r>
      <w:r>
        <w:rPr>
          <w:b w:val="0"/>
          <w:bCs/>
          <w:sz w:val="24"/>
          <w:szCs w:val="24"/>
          <w:highlight w:val="none"/>
        </w:rPr>
        <w:t xml:space="preserve">  </w:t>
      </w:r>
      <w:r>
        <w:rPr>
          <w:rFonts w:hint="eastAsia"/>
          <w:b w:val="0"/>
          <w:bCs/>
          <w:sz w:val="24"/>
          <w:szCs w:val="24"/>
          <w:highlight w:val="none"/>
        </w:rPr>
        <w:t>一般项目</w:t>
      </w:r>
      <w:r>
        <w:rPr>
          <w:b w:val="0"/>
          <w:bCs/>
          <w:sz w:val="24"/>
          <w:szCs w:val="24"/>
          <w:highlight w:val="none"/>
        </w:rPr>
        <w:tab/>
      </w:r>
      <w:r>
        <w:rPr>
          <w:b w:val="0"/>
          <w:bCs/>
          <w:sz w:val="24"/>
          <w:szCs w:val="24"/>
          <w:highlight w:val="none"/>
        </w:rPr>
        <w:fldChar w:fldCharType="begin"/>
      </w:r>
      <w:r>
        <w:rPr>
          <w:b w:val="0"/>
          <w:bCs/>
          <w:sz w:val="24"/>
          <w:szCs w:val="24"/>
          <w:highlight w:val="none"/>
        </w:rPr>
        <w:instrText xml:space="preserve"> PAGEREF _Toc12405 \h </w:instrText>
      </w:r>
      <w:r>
        <w:rPr>
          <w:b w:val="0"/>
          <w:bCs/>
          <w:sz w:val="24"/>
          <w:szCs w:val="24"/>
          <w:highlight w:val="none"/>
        </w:rPr>
        <w:fldChar w:fldCharType="separate"/>
      </w:r>
      <w:r>
        <w:rPr>
          <w:b w:val="0"/>
          <w:bCs/>
          <w:sz w:val="24"/>
          <w:szCs w:val="24"/>
          <w:highlight w:val="none"/>
        </w:rPr>
        <w:t>38</w:t>
      </w:r>
      <w:r>
        <w:rPr>
          <w:b w:val="0"/>
          <w:bCs/>
          <w:sz w:val="24"/>
          <w:szCs w:val="24"/>
          <w:highlight w:val="none"/>
        </w:rPr>
        <w:fldChar w:fldCharType="end"/>
      </w:r>
      <w:r>
        <w:rPr>
          <w:b w:val="0"/>
          <w:bCs/>
          <w:color w:val="auto"/>
          <w:sz w:val="24"/>
          <w:szCs w:val="24"/>
          <w:highlight w:val="none"/>
        </w:rPr>
        <w:fldChar w:fldCharType="end"/>
      </w:r>
    </w:p>
    <w:p>
      <w:pPr>
        <w:pStyle w:val="19"/>
        <w:tabs>
          <w:tab w:val="right" w:leader="dot" w:pos="9026"/>
          <w:tab w:val="clear" w:pos="9016"/>
        </w:tabs>
        <w:rPr>
          <w:b w:val="0"/>
          <w:bCs/>
          <w:sz w:val="24"/>
          <w:szCs w:val="24"/>
          <w:highlight w:val="none"/>
        </w:rPr>
      </w:pPr>
      <w:r>
        <w:rPr>
          <w:b w:val="0"/>
          <w:bCs/>
          <w:color w:val="auto"/>
          <w:sz w:val="24"/>
          <w:szCs w:val="24"/>
          <w:highlight w:val="none"/>
        </w:rPr>
        <w:fldChar w:fldCharType="begin"/>
      </w:r>
      <w:r>
        <w:rPr>
          <w:b w:val="0"/>
          <w:bCs/>
          <w:sz w:val="24"/>
          <w:szCs w:val="24"/>
          <w:highlight w:val="none"/>
        </w:rPr>
        <w:instrText xml:space="preserve"> HYPERLINK \l _Toc18113 </w:instrText>
      </w:r>
      <w:r>
        <w:rPr>
          <w:b w:val="0"/>
          <w:bCs/>
          <w:sz w:val="24"/>
          <w:szCs w:val="24"/>
          <w:highlight w:val="none"/>
        </w:rPr>
        <w:fldChar w:fldCharType="separate"/>
      </w:r>
      <w:r>
        <w:rPr>
          <w:rFonts w:hint="eastAsia"/>
          <w:b w:val="0"/>
          <w:bCs/>
          <w:sz w:val="24"/>
          <w:szCs w:val="24"/>
          <w:highlight w:val="none"/>
        </w:rPr>
        <w:t>7.4</w:t>
      </w:r>
      <w:r>
        <w:rPr>
          <w:b w:val="0"/>
          <w:bCs/>
          <w:sz w:val="24"/>
          <w:szCs w:val="24"/>
          <w:highlight w:val="none"/>
        </w:rPr>
        <w:t xml:space="preserve">  </w:t>
      </w:r>
      <w:r>
        <w:rPr>
          <w:rFonts w:hint="eastAsia"/>
          <w:b w:val="0"/>
          <w:bCs/>
          <w:sz w:val="24"/>
          <w:szCs w:val="24"/>
          <w:highlight w:val="none"/>
        </w:rPr>
        <w:t>验收资料</w:t>
      </w:r>
      <w:r>
        <w:rPr>
          <w:b w:val="0"/>
          <w:bCs/>
          <w:sz w:val="24"/>
          <w:szCs w:val="24"/>
          <w:highlight w:val="none"/>
        </w:rPr>
        <w:tab/>
      </w:r>
      <w:r>
        <w:rPr>
          <w:b w:val="0"/>
          <w:bCs/>
          <w:sz w:val="24"/>
          <w:szCs w:val="24"/>
          <w:highlight w:val="none"/>
        </w:rPr>
        <w:fldChar w:fldCharType="begin"/>
      </w:r>
      <w:r>
        <w:rPr>
          <w:b w:val="0"/>
          <w:bCs/>
          <w:sz w:val="24"/>
          <w:szCs w:val="24"/>
          <w:highlight w:val="none"/>
        </w:rPr>
        <w:instrText xml:space="preserve"> PAGEREF _Toc18113 \h </w:instrText>
      </w:r>
      <w:r>
        <w:rPr>
          <w:b w:val="0"/>
          <w:bCs/>
          <w:sz w:val="24"/>
          <w:szCs w:val="24"/>
          <w:highlight w:val="none"/>
        </w:rPr>
        <w:fldChar w:fldCharType="separate"/>
      </w:r>
      <w:r>
        <w:rPr>
          <w:b w:val="0"/>
          <w:bCs/>
          <w:sz w:val="24"/>
          <w:szCs w:val="24"/>
          <w:highlight w:val="none"/>
        </w:rPr>
        <w:t>39</w:t>
      </w:r>
      <w:r>
        <w:rPr>
          <w:b w:val="0"/>
          <w:bCs/>
          <w:sz w:val="24"/>
          <w:szCs w:val="24"/>
          <w:highlight w:val="none"/>
        </w:rPr>
        <w:fldChar w:fldCharType="end"/>
      </w:r>
      <w:r>
        <w:rPr>
          <w:b w:val="0"/>
          <w:bCs/>
          <w:color w:val="auto"/>
          <w:sz w:val="24"/>
          <w:szCs w:val="24"/>
          <w:highlight w:val="none"/>
        </w:rPr>
        <w:fldChar w:fldCharType="end"/>
      </w:r>
    </w:p>
    <w:p>
      <w:pPr>
        <w:pStyle w:val="17"/>
        <w:tabs>
          <w:tab w:val="right" w:leader="dot" w:pos="9026"/>
          <w:tab w:val="clear" w:pos="9016"/>
        </w:tabs>
        <w:rPr>
          <w:b w:val="0"/>
          <w:bCs/>
          <w:sz w:val="24"/>
          <w:szCs w:val="24"/>
          <w:highlight w:val="none"/>
        </w:rPr>
      </w:pPr>
      <w:r>
        <w:rPr>
          <w:b w:val="0"/>
          <w:bCs/>
          <w:color w:val="auto"/>
          <w:sz w:val="24"/>
          <w:szCs w:val="24"/>
          <w:highlight w:val="none"/>
        </w:rPr>
        <w:fldChar w:fldCharType="begin"/>
      </w:r>
      <w:r>
        <w:rPr>
          <w:b w:val="0"/>
          <w:bCs/>
          <w:sz w:val="24"/>
          <w:szCs w:val="24"/>
          <w:highlight w:val="none"/>
        </w:rPr>
        <w:instrText xml:space="preserve"> HYPERLINK \l _Toc30947 </w:instrText>
      </w:r>
      <w:r>
        <w:rPr>
          <w:b w:val="0"/>
          <w:bCs/>
          <w:sz w:val="24"/>
          <w:szCs w:val="24"/>
          <w:highlight w:val="none"/>
        </w:rPr>
        <w:fldChar w:fldCharType="separate"/>
      </w:r>
      <w:r>
        <w:rPr>
          <w:rFonts w:hint="eastAsia"/>
          <w:b w:val="0"/>
          <w:bCs/>
          <w:sz w:val="24"/>
          <w:szCs w:val="24"/>
          <w:highlight w:val="none"/>
        </w:rPr>
        <w:t>本标准用词说明</w:t>
      </w:r>
      <w:r>
        <w:rPr>
          <w:b w:val="0"/>
          <w:bCs/>
          <w:sz w:val="24"/>
          <w:szCs w:val="24"/>
          <w:highlight w:val="none"/>
        </w:rPr>
        <w:tab/>
      </w:r>
      <w:r>
        <w:rPr>
          <w:b w:val="0"/>
          <w:bCs/>
          <w:sz w:val="24"/>
          <w:szCs w:val="24"/>
          <w:highlight w:val="none"/>
        </w:rPr>
        <w:fldChar w:fldCharType="begin"/>
      </w:r>
      <w:r>
        <w:rPr>
          <w:b w:val="0"/>
          <w:bCs/>
          <w:sz w:val="24"/>
          <w:szCs w:val="24"/>
          <w:highlight w:val="none"/>
        </w:rPr>
        <w:instrText xml:space="preserve"> PAGEREF _Toc30947 \h </w:instrText>
      </w:r>
      <w:r>
        <w:rPr>
          <w:b w:val="0"/>
          <w:bCs/>
          <w:sz w:val="24"/>
          <w:szCs w:val="24"/>
          <w:highlight w:val="none"/>
        </w:rPr>
        <w:fldChar w:fldCharType="separate"/>
      </w:r>
      <w:r>
        <w:rPr>
          <w:b w:val="0"/>
          <w:bCs/>
          <w:sz w:val="24"/>
          <w:szCs w:val="24"/>
          <w:highlight w:val="none"/>
        </w:rPr>
        <w:t>40</w:t>
      </w:r>
      <w:r>
        <w:rPr>
          <w:b w:val="0"/>
          <w:bCs/>
          <w:sz w:val="24"/>
          <w:szCs w:val="24"/>
          <w:highlight w:val="none"/>
        </w:rPr>
        <w:fldChar w:fldCharType="end"/>
      </w:r>
      <w:r>
        <w:rPr>
          <w:b w:val="0"/>
          <w:bCs/>
          <w:color w:val="auto"/>
          <w:sz w:val="24"/>
          <w:szCs w:val="24"/>
          <w:highlight w:val="none"/>
        </w:rPr>
        <w:fldChar w:fldCharType="end"/>
      </w:r>
    </w:p>
    <w:p>
      <w:pPr>
        <w:pStyle w:val="17"/>
        <w:tabs>
          <w:tab w:val="right" w:leader="dot" w:pos="9026"/>
          <w:tab w:val="clear" w:pos="9016"/>
        </w:tabs>
        <w:rPr>
          <w:b w:val="0"/>
          <w:bCs/>
          <w:sz w:val="24"/>
          <w:szCs w:val="24"/>
          <w:highlight w:val="none"/>
        </w:rPr>
      </w:pPr>
      <w:r>
        <w:rPr>
          <w:b w:val="0"/>
          <w:bCs/>
          <w:color w:val="auto"/>
          <w:sz w:val="24"/>
          <w:szCs w:val="24"/>
          <w:highlight w:val="none"/>
        </w:rPr>
        <w:fldChar w:fldCharType="begin"/>
      </w:r>
      <w:r>
        <w:rPr>
          <w:b w:val="0"/>
          <w:bCs/>
          <w:sz w:val="24"/>
          <w:szCs w:val="24"/>
          <w:highlight w:val="none"/>
        </w:rPr>
        <w:instrText xml:space="preserve"> HYPERLINK \l _Toc5018 </w:instrText>
      </w:r>
      <w:r>
        <w:rPr>
          <w:b w:val="0"/>
          <w:bCs/>
          <w:sz w:val="24"/>
          <w:szCs w:val="24"/>
          <w:highlight w:val="none"/>
        </w:rPr>
        <w:fldChar w:fldCharType="separate"/>
      </w:r>
      <w:r>
        <w:rPr>
          <w:rFonts w:hint="eastAsia"/>
          <w:b w:val="0"/>
          <w:bCs/>
          <w:sz w:val="24"/>
          <w:szCs w:val="24"/>
          <w:highlight w:val="none"/>
        </w:rPr>
        <w:t>引用标准名录</w:t>
      </w:r>
      <w:r>
        <w:rPr>
          <w:b w:val="0"/>
          <w:bCs/>
          <w:sz w:val="24"/>
          <w:szCs w:val="24"/>
          <w:highlight w:val="none"/>
        </w:rPr>
        <w:tab/>
      </w:r>
      <w:r>
        <w:rPr>
          <w:b w:val="0"/>
          <w:bCs/>
          <w:sz w:val="24"/>
          <w:szCs w:val="24"/>
          <w:highlight w:val="none"/>
        </w:rPr>
        <w:fldChar w:fldCharType="begin"/>
      </w:r>
      <w:r>
        <w:rPr>
          <w:b w:val="0"/>
          <w:bCs/>
          <w:sz w:val="24"/>
          <w:szCs w:val="24"/>
          <w:highlight w:val="none"/>
        </w:rPr>
        <w:instrText xml:space="preserve"> PAGEREF _Toc5018 \h </w:instrText>
      </w:r>
      <w:r>
        <w:rPr>
          <w:b w:val="0"/>
          <w:bCs/>
          <w:sz w:val="24"/>
          <w:szCs w:val="24"/>
          <w:highlight w:val="none"/>
        </w:rPr>
        <w:fldChar w:fldCharType="separate"/>
      </w:r>
      <w:r>
        <w:rPr>
          <w:b w:val="0"/>
          <w:bCs/>
          <w:sz w:val="24"/>
          <w:szCs w:val="24"/>
          <w:highlight w:val="none"/>
        </w:rPr>
        <w:t>41</w:t>
      </w:r>
      <w:r>
        <w:rPr>
          <w:b w:val="0"/>
          <w:bCs/>
          <w:sz w:val="24"/>
          <w:szCs w:val="24"/>
          <w:highlight w:val="none"/>
        </w:rPr>
        <w:fldChar w:fldCharType="end"/>
      </w:r>
      <w:r>
        <w:rPr>
          <w:b w:val="0"/>
          <w:bCs/>
          <w:color w:val="auto"/>
          <w:sz w:val="24"/>
          <w:szCs w:val="24"/>
          <w:highlight w:val="none"/>
        </w:rPr>
        <w:fldChar w:fldCharType="end"/>
      </w:r>
    </w:p>
    <w:p>
      <w:pPr>
        <w:pageBreakBefore w:val="0"/>
        <w:widowControl w:val="0"/>
        <w:kinsoku/>
        <w:wordWrap/>
        <w:overflowPunct/>
        <w:topLinePunct w:val="0"/>
        <w:autoSpaceDE/>
        <w:autoSpaceDN/>
        <w:bidi w:val="0"/>
        <w:adjustRightInd/>
        <w:snapToGrid/>
        <w:textAlignment w:val="auto"/>
        <w:outlineLvl w:val="9"/>
        <w:rPr>
          <w:color w:val="auto"/>
          <w:highlight w:val="none"/>
        </w:rPr>
        <w:sectPr>
          <w:footerReference r:id="rId8" w:type="default"/>
          <w:pgSz w:w="11906" w:h="16838"/>
          <w:pgMar w:top="1440" w:right="1440" w:bottom="1440" w:left="1440" w:header="851" w:footer="992" w:gutter="0"/>
          <w:pgBorders>
            <w:top w:val="none" w:sz="0" w:space="0"/>
            <w:left w:val="none" w:sz="0" w:space="0"/>
            <w:bottom w:val="none" w:sz="0" w:space="0"/>
            <w:right w:val="none" w:sz="0" w:space="0"/>
          </w:pgBorders>
          <w:pgNumType w:start="1"/>
          <w:cols w:space="720" w:num="1"/>
          <w:docGrid w:type="lines" w:linePitch="312" w:charSpace="0"/>
        </w:sectPr>
      </w:pPr>
      <w:r>
        <w:rPr>
          <w:b w:val="0"/>
          <w:bCs/>
          <w:color w:val="auto"/>
          <w:sz w:val="24"/>
          <w:szCs w:val="24"/>
          <w:highlight w:val="none"/>
        </w:rPr>
        <w:fldChar w:fldCharType="end"/>
      </w:r>
    </w:p>
    <w:p>
      <w:pPr>
        <w:pStyle w:val="4"/>
        <w:bidi w:val="0"/>
        <w:rPr>
          <w:color w:val="auto"/>
          <w:highlight w:val="none"/>
        </w:rPr>
        <w:sectPr>
          <w:footerReference r:id="rId9" w:type="default"/>
          <w:type w:val="continuous"/>
          <w:pgSz w:w="11906" w:h="16838"/>
          <w:pgMar w:top="1440" w:right="1440" w:bottom="1440" w:left="1440" w:header="851" w:footer="992" w:gutter="0"/>
          <w:pgBorders>
            <w:top w:val="none" w:sz="0" w:space="0"/>
            <w:left w:val="none" w:sz="0" w:space="0"/>
            <w:bottom w:val="none" w:sz="0" w:space="0"/>
            <w:right w:val="none" w:sz="0" w:space="0"/>
          </w:pgBorders>
          <w:cols w:space="720" w:num="1"/>
          <w:docGrid w:type="lines" w:linePitch="312" w:charSpace="0"/>
        </w:sectPr>
      </w:pPr>
      <w:bookmarkStart w:id="9" w:name="_Toc12366"/>
    </w:p>
    <w:p>
      <w:pPr>
        <w:pageBreakBefore w:val="0"/>
        <w:wordWrap/>
        <w:topLinePunct w:val="0"/>
        <w:bidi w:val="0"/>
        <w:spacing w:after="0" w:line="360" w:lineRule="auto"/>
        <w:jc w:val="center"/>
        <w:rPr>
          <w:b/>
          <w:bCs/>
          <w:sz w:val="32"/>
          <w:szCs w:val="32"/>
        </w:rPr>
      </w:pPr>
      <w:r>
        <w:rPr>
          <w:b/>
          <w:bCs/>
          <w:sz w:val="32"/>
          <w:szCs w:val="32"/>
        </w:rPr>
        <w:t>C</w:t>
      </w:r>
      <w:r>
        <w:rPr>
          <w:rFonts w:hint="eastAsia"/>
          <w:b/>
          <w:bCs/>
          <w:sz w:val="32"/>
          <w:szCs w:val="32"/>
        </w:rPr>
        <w:t>ontents</w:t>
      </w:r>
    </w:p>
    <w:p>
      <w:pPr>
        <w:pStyle w:val="17"/>
        <w:keepNext w:val="0"/>
        <w:keepLines w:val="0"/>
        <w:pageBreakBefore w:val="0"/>
        <w:widowControl/>
        <w:tabs>
          <w:tab w:val="right" w:leader="dot" w:pos="9145"/>
          <w:tab w:val="clear" w:pos="9016"/>
        </w:tabs>
        <w:kinsoku/>
        <w:wordWrap/>
        <w:overflowPunct/>
        <w:topLinePunct w:val="0"/>
        <w:autoSpaceDE/>
        <w:autoSpaceDN/>
        <w:bidi w:val="0"/>
        <w:adjustRightInd/>
        <w:snapToGrid/>
        <w:spacing w:after="0" w:line="360" w:lineRule="auto"/>
        <w:ind w:firstLine="422"/>
        <w:textAlignment w:val="auto"/>
        <w:rPr>
          <w:b w:val="0"/>
          <w:bCs/>
          <w:sz w:val="24"/>
          <w:szCs w:val="24"/>
        </w:rPr>
      </w:pPr>
      <w:r>
        <w:rPr>
          <w:b w:val="0"/>
          <w:bCs/>
          <w:sz w:val="24"/>
          <w:szCs w:val="24"/>
        </w:rPr>
        <w:t xml:space="preserve">1  </w:t>
      </w:r>
      <w:r>
        <w:rPr>
          <w:rFonts w:hint="eastAsia"/>
          <w:b w:val="0"/>
          <w:bCs/>
          <w:sz w:val="24"/>
          <w:szCs w:val="24"/>
        </w:rPr>
        <w:t>General</w:t>
      </w:r>
      <w:r>
        <w:rPr>
          <w:b w:val="0"/>
          <w:bCs/>
          <w:sz w:val="24"/>
          <w:szCs w:val="24"/>
        </w:rPr>
        <w:t xml:space="preserve"> provisions</w:t>
      </w:r>
      <w:r>
        <w:rPr>
          <w:b w:val="0"/>
          <w:bCs/>
          <w:sz w:val="24"/>
          <w:szCs w:val="24"/>
        </w:rPr>
        <w:tab/>
      </w:r>
      <w:r>
        <w:rPr>
          <w:rFonts w:hint="eastAsia"/>
          <w:b w:val="0"/>
          <w:bCs/>
          <w:sz w:val="24"/>
          <w:szCs w:val="24"/>
        </w:rPr>
        <w:t>1</w:t>
      </w:r>
    </w:p>
    <w:p>
      <w:pPr>
        <w:pStyle w:val="17"/>
        <w:keepNext w:val="0"/>
        <w:keepLines w:val="0"/>
        <w:pageBreakBefore w:val="0"/>
        <w:widowControl/>
        <w:tabs>
          <w:tab w:val="right" w:leader="dot" w:pos="9145"/>
          <w:tab w:val="clear" w:pos="9016"/>
        </w:tabs>
        <w:kinsoku/>
        <w:wordWrap/>
        <w:overflowPunct/>
        <w:topLinePunct w:val="0"/>
        <w:autoSpaceDE/>
        <w:autoSpaceDN/>
        <w:bidi w:val="0"/>
        <w:adjustRightInd/>
        <w:snapToGrid/>
        <w:spacing w:after="0" w:line="360" w:lineRule="auto"/>
        <w:ind w:firstLine="422"/>
        <w:textAlignment w:val="auto"/>
        <w:rPr>
          <w:rFonts w:hint="eastAsia"/>
          <w:b w:val="0"/>
          <w:bCs/>
          <w:sz w:val="24"/>
          <w:szCs w:val="24"/>
        </w:rPr>
      </w:pPr>
      <w:r>
        <w:rPr>
          <w:b w:val="0"/>
          <w:bCs/>
          <w:sz w:val="24"/>
          <w:szCs w:val="24"/>
        </w:rPr>
        <w:t>2  Terms</w:t>
      </w:r>
      <w:r>
        <w:rPr>
          <w:rFonts w:hint="eastAsia"/>
          <w:b w:val="0"/>
          <w:bCs/>
          <w:sz w:val="24"/>
          <w:szCs w:val="24"/>
        </w:rPr>
        <w:t xml:space="preserve"> </w:t>
      </w:r>
      <w:r>
        <w:rPr>
          <w:b w:val="0"/>
          <w:bCs/>
          <w:sz w:val="24"/>
          <w:szCs w:val="24"/>
        </w:rPr>
        <w:tab/>
      </w:r>
      <w:r>
        <w:rPr>
          <w:rFonts w:hint="eastAsia"/>
          <w:b w:val="0"/>
          <w:bCs/>
          <w:sz w:val="24"/>
          <w:szCs w:val="24"/>
        </w:rPr>
        <w:t>2</w:t>
      </w:r>
    </w:p>
    <w:p>
      <w:pPr>
        <w:pStyle w:val="17"/>
        <w:keepNext w:val="0"/>
        <w:keepLines w:val="0"/>
        <w:pageBreakBefore w:val="0"/>
        <w:widowControl/>
        <w:tabs>
          <w:tab w:val="right" w:leader="dot" w:pos="9145"/>
          <w:tab w:val="clear" w:pos="9016"/>
        </w:tabs>
        <w:kinsoku/>
        <w:wordWrap/>
        <w:overflowPunct/>
        <w:topLinePunct w:val="0"/>
        <w:autoSpaceDE/>
        <w:autoSpaceDN/>
        <w:bidi w:val="0"/>
        <w:adjustRightInd/>
        <w:snapToGrid/>
        <w:spacing w:after="0" w:line="360" w:lineRule="auto"/>
        <w:ind w:firstLine="422"/>
        <w:textAlignment w:val="auto"/>
        <w:rPr>
          <w:rFonts w:hint="eastAsia" w:eastAsia="宋体"/>
          <w:b w:val="0"/>
          <w:bCs/>
          <w:sz w:val="24"/>
          <w:szCs w:val="24"/>
          <w:lang w:val="en-US" w:eastAsia="zh-CN"/>
        </w:rPr>
      </w:pPr>
      <w:r>
        <w:rPr>
          <w:rFonts w:hint="eastAsia"/>
          <w:b w:val="0"/>
          <w:bCs/>
          <w:sz w:val="24"/>
          <w:szCs w:val="24"/>
        </w:rPr>
        <w:t>3</w:t>
      </w:r>
      <w:r>
        <w:rPr>
          <w:b w:val="0"/>
          <w:bCs/>
          <w:sz w:val="24"/>
          <w:szCs w:val="24"/>
        </w:rPr>
        <w:t xml:space="preserve">  </w:t>
      </w:r>
      <w:r>
        <w:rPr>
          <w:rFonts w:hint="eastAsia"/>
          <w:b w:val="0"/>
          <w:bCs/>
          <w:sz w:val="24"/>
          <w:szCs w:val="24"/>
          <w:lang w:val="en-US" w:eastAsia="zh-CN"/>
        </w:rPr>
        <w:t>Basic requirements</w:t>
      </w:r>
      <w:r>
        <w:rPr>
          <w:b w:val="0"/>
          <w:bCs/>
          <w:sz w:val="24"/>
          <w:szCs w:val="24"/>
        </w:rPr>
        <w:tab/>
      </w:r>
      <w:r>
        <w:rPr>
          <w:rFonts w:hint="eastAsia"/>
          <w:b w:val="0"/>
          <w:bCs/>
          <w:sz w:val="24"/>
          <w:szCs w:val="24"/>
          <w:lang w:val="en-US" w:eastAsia="zh-CN"/>
        </w:rPr>
        <w:t>3</w:t>
      </w:r>
    </w:p>
    <w:p>
      <w:pPr>
        <w:pStyle w:val="17"/>
        <w:keepNext w:val="0"/>
        <w:keepLines w:val="0"/>
        <w:pageBreakBefore w:val="0"/>
        <w:widowControl/>
        <w:tabs>
          <w:tab w:val="right" w:leader="dot" w:pos="9145"/>
          <w:tab w:val="clear" w:pos="9016"/>
        </w:tabs>
        <w:kinsoku/>
        <w:wordWrap/>
        <w:overflowPunct/>
        <w:topLinePunct w:val="0"/>
        <w:autoSpaceDE/>
        <w:autoSpaceDN/>
        <w:bidi w:val="0"/>
        <w:adjustRightInd/>
        <w:snapToGrid/>
        <w:spacing w:after="0" w:line="360" w:lineRule="auto"/>
        <w:ind w:firstLine="422"/>
        <w:textAlignment w:val="auto"/>
        <w:rPr>
          <w:rFonts w:hint="eastAsia" w:eastAsia="宋体"/>
          <w:b w:val="0"/>
          <w:bCs/>
          <w:sz w:val="24"/>
          <w:szCs w:val="24"/>
          <w:lang w:val="en-US" w:eastAsia="zh-CN"/>
        </w:rPr>
      </w:pPr>
      <w:r>
        <w:rPr>
          <w:rFonts w:hint="eastAsia"/>
          <w:b w:val="0"/>
          <w:bCs/>
          <w:sz w:val="24"/>
          <w:szCs w:val="24"/>
          <w:lang w:val="en-US" w:eastAsia="zh-CN"/>
        </w:rPr>
        <w:t>4</w:t>
      </w:r>
      <w:r>
        <w:rPr>
          <w:b w:val="0"/>
          <w:bCs/>
          <w:sz w:val="24"/>
          <w:szCs w:val="24"/>
        </w:rPr>
        <w:t xml:space="preserve">  </w:t>
      </w:r>
      <w:r>
        <w:rPr>
          <w:rFonts w:hint="eastAsia"/>
          <w:b w:val="0"/>
          <w:bCs/>
          <w:sz w:val="24"/>
          <w:szCs w:val="24"/>
        </w:rPr>
        <w:t>Performance requirement</w:t>
      </w:r>
      <w:r>
        <w:rPr>
          <w:b w:val="0"/>
          <w:bCs/>
          <w:sz w:val="24"/>
          <w:szCs w:val="24"/>
        </w:rPr>
        <w:tab/>
      </w:r>
      <w:r>
        <w:rPr>
          <w:rFonts w:hint="eastAsia"/>
          <w:b w:val="0"/>
          <w:bCs/>
          <w:sz w:val="24"/>
          <w:szCs w:val="24"/>
          <w:lang w:val="en-US" w:eastAsia="zh-CN"/>
        </w:rPr>
        <w:t>7</w:t>
      </w:r>
    </w:p>
    <w:p>
      <w:pPr>
        <w:pStyle w:val="17"/>
        <w:keepNext w:val="0"/>
        <w:keepLines w:val="0"/>
        <w:pageBreakBefore w:val="0"/>
        <w:widowControl/>
        <w:tabs>
          <w:tab w:val="right" w:leader="dot" w:pos="9145"/>
          <w:tab w:val="clear" w:pos="9016"/>
        </w:tabs>
        <w:kinsoku/>
        <w:wordWrap/>
        <w:overflowPunct/>
        <w:topLinePunct w:val="0"/>
        <w:autoSpaceDE/>
        <w:autoSpaceDN/>
        <w:bidi w:val="0"/>
        <w:adjustRightInd/>
        <w:snapToGrid/>
        <w:spacing w:after="0" w:line="360" w:lineRule="auto"/>
        <w:ind w:firstLine="422"/>
        <w:textAlignment w:val="auto"/>
        <w:rPr>
          <w:rFonts w:hint="eastAsia" w:eastAsia="宋体"/>
          <w:b w:val="0"/>
          <w:bCs/>
          <w:sz w:val="24"/>
          <w:szCs w:val="24"/>
          <w:lang w:val="en-US" w:eastAsia="zh-CN"/>
        </w:rPr>
      </w:pPr>
      <w:r>
        <w:rPr>
          <w:rFonts w:hint="eastAsia"/>
          <w:b w:val="0"/>
          <w:bCs/>
          <w:sz w:val="24"/>
          <w:szCs w:val="24"/>
        </w:rPr>
        <w:t xml:space="preserve"> </w:t>
      </w:r>
      <w:r>
        <w:rPr>
          <w:b w:val="0"/>
          <w:bCs/>
          <w:sz w:val="24"/>
          <w:szCs w:val="24"/>
        </w:rPr>
        <w:t xml:space="preserve"> </w:t>
      </w:r>
      <w:r>
        <w:rPr>
          <w:rFonts w:hint="eastAsia"/>
          <w:b w:val="0"/>
          <w:bCs/>
          <w:sz w:val="24"/>
          <w:szCs w:val="24"/>
        </w:rPr>
        <w:t>4</w:t>
      </w:r>
      <w:r>
        <w:rPr>
          <w:b w:val="0"/>
          <w:bCs/>
          <w:sz w:val="24"/>
          <w:szCs w:val="24"/>
        </w:rPr>
        <w:t xml:space="preserve">.1 </w:t>
      </w:r>
      <w:r>
        <w:rPr>
          <w:rFonts w:hint="eastAsia"/>
          <w:b w:val="0"/>
          <w:bCs/>
          <w:sz w:val="24"/>
          <w:szCs w:val="24"/>
        </w:rPr>
        <w:t>General</w:t>
      </w:r>
      <w:r>
        <w:rPr>
          <w:b w:val="0"/>
          <w:bCs/>
          <w:sz w:val="24"/>
          <w:szCs w:val="24"/>
        </w:rPr>
        <w:t xml:space="preserve"> </w:t>
      </w:r>
      <w:r>
        <w:rPr>
          <w:rFonts w:hint="eastAsia"/>
          <w:b w:val="0"/>
          <w:bCs/>
          <w:sz w:val="24"/>
          <w:szCs w:val="24"/>
        </w:rPr>
        <w:t>r</w:t>
      </w:r>
      <w:r>
        <w:rPr>
          <w:b w:val="0"/>
          <w:bCs/>
          <w:sz w:val="24"/>
          <w:szCs w:val="24"/>
        </w:rPr>
        <w:t>equirements</w:t>
      </w:r>
      <w:r>
        <w:rPr>
          <w:b w:val="0"/>
          <w:bCs/>
          <w:sz w:val="24"/>
          <w:szCs w:val="24"/>
        </w:rPr>
        <w:tab/>
      </w:r>
      <w:r>
        <w:rPr>
          <w:rFonts w:hint="eastAsia"/>
          <w:b w:val="0"/>
          <w:bCs/>
          <w:sz w:val="24"/>
          <w:szCs w:val="24"/>
          <w:lang w:val="en-US" w:eastAsia="zh-CN"/>
        </w:rPr>
        <w:t>7</w:t>
      </w:r>
    </w:p>
    <w:p>
      <w:pPr>
        <w:pStyle w:val="17"/>
        <w:keepNext w:val="0"/>
        <w:keepLines w:val="0"/>
        <w:pageBreakBefore w:val="0"/>
        <w:widowControl/>
        <w:tabs>
          <w:tab w:val="right" w:leader="dot" w:pos="9145"/>
          <w:tab w:val="clear" w:pos="9016"/>
        </w:tabs>
        <w:kinsoku/>
        <w:wordWrap/>
        <w:overflowPunct/>
        <w:topLinePunct w:val="0"/>
        <w:autoSpaceDE/>
        <w:autoSpaceDN/>
        <w:bidi w:val="0"/>
        <w:adjustRightInd/>
        <w:snapToGrid/>
        <w:spacing w:after="0" w:line="360" w:lineRule="auto"/>
        <w:ind w:firstLine="422"/>
        <w:textAlignment w:val="auto"/>
        <w:rPr>
          <w:rFonts w:hint="eastAsia" w:eastAsia="宋体"/>
          <w:b w:val="0"/>
          <w:bCs/>
          <w:sz w:val="24"/>
          <w:szCs w:val="24"/>
          <w:lang w:val="en-US" w:eastAsia="zh-CN"/>
        </w:rPr>
      </w:pPr>
      <w:r>
        <w:rPr>
          <w:rFonts w:hint="eastAsia"/>
          <w:b w:val="0"/>
          <w:bCs/>
          <w:sz w:val="24"/>
          <w:szCs w:val="24"/>
        </w:rPr>
        <w:t xml:space="preserve">  </w:t>
      </w:r>
      <w:r>
        <w:rPr>
          <w:rFonts w:hint="eastAsia"/>
          <w:b w:val="0"/>
          <w:bCs/>
          <w:sz w:val="24"/>
          <w:szCs w:val="24"/>
          <w:lang w:val="en-US" w:eastAsia="zh-CN"/>
        </w:rPr>
        <w:t>4</w:t>
      </w:r>
      <w:r>
        <w:rPr>
          <w:b w:val="0"/>
          <w:bCs/>
          <w:sz w:val="24"/>
          <w:szCs w:val="24"/>
        </w:rPr>
        <w:t xml:space="preserve">.2 </w:t>
      </w:r>
      <w:r>
        <w:rPr>
          <w:rFonts w:hint="eastAsia"/>
          <w:b w:val="0"/>
          <w:bCs/>
          <w:sz w:val="24"/>
          <w:szCs w:val="24"/>
        </w:rPr>
        <w:t>System performance requirements</w:t>
      </w:r>
      <w:r>
        <w:rPr>
          <w:b w:val="0"/>
          <w:bCs/>
          <w:sz w:val="24"/>
          <w:szCs w:val="24"/>
        </w:rPr>
        <w:tab/>
      </w:r>
      <w:r>
        <w:rPr>
          <w:rFonts w:hint="eastAsia"/>
          <w:b w:val="0"/>
          <w:bCs/>
          <w:sz w:val="24"/>
          <w:szCs w:val="24"/>
          <w:lang w:val="en-US" w:eastAsia="zh-CN"/>
        </w:rPr>
        <w:t>9</w:t>
      </w:r>
    </w:p>
    <w:p>
      <w:pPr>
        <w:pStyle w:val="17"/>
        <w:keepNext w:val="0"/>
        <w:keepLines w:val="0"/>
        <w:pageBreakBefore w:val="0"/>
        <w:widowControl/>
        <w:tabs>
          <w:tab w:val="right" w:leader="dot" w:pos="9145"/>
          <w:tab w:val="clear" w:pos="9016"/>
        </w:tabs>
        <w:kinsoku/>
        <w:wordWrap/>
        <w:overflowPunct/>
        <w:topLinePunct w:val="0"/>
        <w:autoSpaceDE/>
        <w:autoSpaceDN/>
        <w:bidi w:val="0"/>
        <w:adjustRightInd/>
        <w:snapToGrid/>
        <w:spacing w:after="0" w:line="360" w:lineRule="auto"/>
        <w:ind w:firstLine="698" w:firstLineChars="291"/>
        <w:textAlignment w:val="auto"/>
        <w:rPr>
          <w:rFonts w:hint="default" w:eastAsia="宋体"/>
          <w:b w:val="0"/>
          <w:bCs/>
          <w:sz w:val="24"/>
          <w:szCs w:val="24"/>
          <w:lang w:val="en-US" w:eastAsia="zh-CN"/>
        </w:rPr>
      </w:pPr>
      <w:r>
        <w:rPr>
          <w:rFonts w:hint="eastAsia"/>
          <w:b w:val="0"/>
          <w:bCs/>
          <w:sz w:val="24"/>
          <w:szCs w:val="24"/>
          <w:lang w:val="en-US" w:eastAsia="zh-CN"/>
        </w:rPr>
        <w:t>4</w:t>
      </w:r>
      <w:r>
        <w:rPr>
          <w:b w:val="0"/>
          <w:bCs/>
          <w:sz w:val="24"/>
          <w:szCs w:val="24"/>
        </w:rPr>
        <w:t>.</w:t>
      </w:r>
      <w:r>
        <w:rPr>
          <w:rFonts w:hint="eastAsia"/>
          <w:b w:val="0"/>
          <w:bCs/>
          <w:sz w:val="24"/>
          <w:szCs w:val="24"/>
        </w:rPr>
        <w:t>3</w:t>
      </w:r>
      <w:r>
        <w:rPr>
          <w:b w:val="0"/>
          <w:bCs/>
          <w:sz w:val="24"/>
          <w:szCs w:val="24"/>
        </w:rPr>
        <w:t xml:space="preserve"> </w:t>
      </w:r>
      <w:r>
        <w:rPr>
          <w:rFonts w:hint="eastAsia" w:cs="Times New Roman"/>
          <w:b w:val="0"/>
          <w:bCs/>
          <w:sz w:val="24"/>
          <w:szCs w:val="24"/>
        </w:rPr>
        <w:t>Component material performance requirements</w:t>
      </w:r>
      <w:r>
        <w:rPr>
          <w:b w:val="0"/>
          <w:bCs/>
          <w:sz w:val="24"/>
          <w:szCs w:val="24"/>
        </w:rPr>
        <w:tab/>
      </w:r>
      <w:r>
        <w:rPr>
          <w:rFonts w:hint="eastAsia"/>
          <w:b w:val="0"/>
          <w:bCs/>
          <w:sz w:val="24"/>
          <w:szCs w:val="24"/>
          <w:lang w:val="en-US" w:eastAsia="zh-CN"/>
        </w:rPr>
        <w:t>10</w:t>
      </w:r>
    </w:p>
    <w:p>
      <w:pPr>
        <w:pStyle w:val="17"/>
        <w:keepNext w:val="0"/>
        <w:keepLines w:val="0"/>
        <w:pageBreakBefore w:val="0"/>
        <w:widowControl/>
        <w:tabs>
          <w:tab w:val="right" w:leader="dot" w:pos="9145"/>
          <w:tab w:val="clear" w:pos="9016"/>
        </w:tabs>
        <w:kinsoku/>
        <w:wordWrap/>
        <w:overflowPunct/>
        <w:topLinePunct w:val="0"/>
        <w:autoSpaceDE/>
        <w:autoSpaceDN/>
        <w:bidi w:val="0"/>
        <w:adjustRightInd/>
        <w:snapToGrid/>
        <w:spacing w:after="0" w:line="360" w:lineRule="auto"/>
        <w:ind w:firstLine="422"/>
        <w:textAlignment w:val="auto"/>
        <w:rPr>
          <w:rFonts w:hint="default" w:eastAsia="宋体"/>
          <w:b w:val="0"/>
          <w:bCs/>
          <w:sz w:val="24"/>
          <w:szCs w:val="24"/>
          <w:lang w:val="en-US" w:eastAsia="zh-CN"/>
        </w:rPr>
      </w:pPr>
      <w:r>
        <w:rPr>
          <w:rFonts w:hint="eastAsia"/>
          <w:b w:val="0"/>
          <w:bCs/>
          <w:sz w:val="24"/>
          <w:szCs w:val="24"/>
          <w:lang w:val="en-US" w:eastAsia="zh-CN"/>
        </w:rPr>
        <w:t>5</w:t>
      </w:r>
      <w:r>
        <w:rPr>
          <w:b w:val="0"/>
          <w:bCs/>
          <w:sz w:val="24"/>
          <w:szCs w:val="24"/>
        </w:rPr>
        <w:t xml:space="preserve">  </w:t>
      </w:r>
      <w:r>
        <w:rPr>
          <w:rFonts w:hint="eastAsia"/>
          <w:b w:val="0"/>
          <w:bCs/>
          <w:sz w:val="24"/>
          <w:szCs w:val="24"/>
        </w:rPr>
        <w:t>Design and system construction</w:t>
      </w:r>
      <w:r>
        <w:rPr>
          <w:b w:val="0"/>
          <w:bCs/>
          <w:sz w:val="24"/>
          <w:szCs w:val="24"/>
        </w:rPr>
        <w:tab/>
      </w:r>
      <w:r>
        <w:rPr>
          <w:rFonts w:hint="eastAsia"/>
          <w:b w:val="0"/>
          <w:bCs/>
          <w:sz w:val="24"/>
          <w:szCs w:val="24"/>
          <w:lang w:val="en-US" w:eastAsia="zh-CN"/>
        </w:rPr>
        <w:t>18</w:t>
      </w:r>
    </w:p>
    <w:p>
      <w:pPr>
        <w:pStyle w:val="17"/>
        <w:keepNext w:val="0"/>
        <w:keepLines w:val="0"/>
        <w:pageBreakBefore w:val="0"/>
        <w:widowControl/>
        <w:tabs>
          <w:tab w:val="right" w:leader="dot" w:pos="9145"/>
          <w:tab w:val="clear" w:pos="9016"/>
        </w:tabs>
        <w:kinsoku/>
        <w:wordWrap/>
        <w:overflowPunct/>
        <w:topLinePunct w:val="0"/>
        <w:autoSpaceDE/>
        <w:autoSpaceDN/>
        <w:bidi w:val="0"/>
        <w:adjustRightInd/>
        <w:snapToGrid/>
        <w:spacing w:after="0" w:line="360" w:lineRule="auto"/>
        <w:ind w:firstLine="422"/>
        <w:textAlignment w:val="auto"/>
        <w:rPr>
          <w:rFonts w:hint="default" w:eastAsia="宋体"/>
          <w:b w:val="0"/>
          <w:bCs/>
          <w:sz w:val="24"/>
          <w:szCs w:val="24"/>
          <w:lang w:val="en-US" w:eastAsia="zh-CN"/>
        </w:rPr>
      </w:pPr>
      <w:r>
        <w:rPr>
          <w:b w:val="0"/>
          <w:bCs/>
          <w:sz w:val="24"/>
          <w:szCs w:val="24"/>
        </w:rPr>
        <w:t xml:space="preserve">  </w:t>
      </w:r>
      <w:r>
        <w:rPr>
          <w:rFonts w:hint="eastAsia"/>
          <w:b w:val="0"/>
          <w:bCs/>
          <w:sz w:val="24"/>
          <w:szCs w:val="24"/>
          <w:lang w:val="en-US" w:eastAsia="zh-CN"/>
        </w:rPr>
        <w:t>5</w:t>
      </w:r>
      <w:r>
        <w:rPr>
          <w:b w:val="0"/>
          <w:bCs/>
          <w:sz w:val="24"/>
          <w:szCs w:val="24"/>
        </w:rPr>
        <w:t xml:space="preserve">.1 </w:t>
      </w:r>
      <w:r>
        <w:rPr>
          <w:rFonts w:hint="eastAsia"/>
          <w:b w:val="0"/>
          <w:bCs/>
          <w:sz w:val="24"/>
          <w:szCs w:val="24"/>
        </w:rPr>
        <w:t>General</w:t>
      </w:r>
      <w:r>
        <w:rPr>
          <w:b w:val="0"/>
          <w:bCs/>
          <w:sz w:val="24"/>
          <w:szCs w:val="24"/>
        </w:rPr>
        <w:t xml:space="preserve"> </w:t>
      </w:r>
      <w:r>
        <w:rPr>
          <w:rFonts w:hint="eastAsia"/>
          <w:b w:val="0"/>
          <w:bCs/>
          <w:sz w:val="24"/>
          <w:szCs w:val="24"/>
        </w:rPr>
        <w:t>r</w:t>
      </w:r>
      <w:r>
        <w:rPr>
          <w:b w:val="0"/>
          <w:bCs/>
          <w:sz w:val="24"/>
          <w:szCs w:val="24"/>
        </w:rPr>
        <w:t>equirements</w:t>
      </w:r>
      <w:r>
        <w:rPr>
          <w:b w:val="0"/>
          <w:bCs/>
          <w:sz w:val="24"/>
          <w:szCs w:val="24"/>
        </w:rPr>
        <w:tab/>
      </w:r>
      <w:r>
        <w:rPr>
          <w:rFonts w:hint="eastAsia"/>
          <w:b w:val="0"/>
          <w:bCs/>
          <w:sz w:val="24"/>
          <w:szCs w:val="24"/>
          <w:lang w:val="en-US" w:eastAsia="zh-CN"/>
        </w:rPr>
        <w:t>18</w:t>
      </w:r>
    </w:p>
    <w:p>
      <w:pPr>
        <w:pStyle w:val="17"/>
        <w:keepNext w:val="0"/>
        <w:keepLines w:val="0"/>
        <w:pageBreakBefore w:val="0"/>
        <w:widowControl/>
        <w:tabs>
          <w:tab w:val="right" w:leader="dot" w:pos="9145"/>
          <w:tab w:val="clear" w:pos="9016"/>
        </w:tabs>
        <w:kinsoku/>
        <w:wordWrap/>
        <w:overflowPunct/>
        <w:topLinePunct w:val="0"/>
        <w:autoSpaceDE/>
        <w:autoSpaceDN/>
        <w:bidi w:val="0"/>
        <w:adjustRightInd/>
        <w:snapToGrid/>
        <w:spacing w:after="0" w:line="360" w:lineRule="auto"/>
        <w:ind w:firstLine="422"/>
        <w:textAlignment w:val="auto"/>
        <w:rPr>
          <w:rFonts w:hint="eastAsia" w:eastAsia="宋体"/>
          <w:b w:val="0"/>
          <w:bCs/>
          <w:sz w:val="24"/>
          <w:szCs w:val="24"/>
          <w:lang w:val="en-US" w:eastAsia="zh-CN"/>
        </w:rPr>
      </w:pPr>
      <w:r>
        <w:rPr>
          <w:b w:val="0"/>
          <w:bCs/>
          <w:sz w:val="24"/>
          <w:szCs w:val="24"/>
        </w:rPr>
        <w:t xml:space="preserve">  </w:t>
      </w:r>
      <w:r>
        <w:rPr>
          <w:rFonts w:hint="eastAsia"/>
          <w:b w:val="0"/>
          <w:bCs/>
          <w:sz w:val="24"/>
          <w:szCs w:val="24"/>
          <w:lang w:val="en-US" w:eastAsia="zh-CN"/>
        </w:rPr>
        <w:t>5</w:t>
      </w:r>
      <w:r>
        <w:rPr>
          <w:b w:val="0"/>
          <w:bCs/>
          <w:sz w:val="24"/>
          <w:szCs w:val="24"/>
        </w:rPr>
        <w:t xml:space="preserve">.2 </w:t>
      </w:r>
      <w:r>
        <w:rPr>
          <w:rFonts w:hint="eastAsia"/>
          <w:b w:val="0"/>
          <w:bCs/>
          <w:sz w:val="24"/>
          <w:szCs w:val="24"/>
        </w:rPr>
        <w:t>System structure design</w:t>
      </w:r>
      <w:r>
        <w:rPr>
          <w:b w:val="0"/>
          <w:bCs/>
          <w:sz w:val="24"/>
          <w:szCs w:val="24"/>
        </w:rPr>
        <w:tab/>
      </w:r>
      <w:r>
        <w:rPr>
          <w:rFonts w:hint="eastAsia"/>
          <w:b w:val="0"/>
          <w:bCs/>
          <w:sz w:val="24"/>
          <w:szCs w:val="24"/>
        </w:rPr>
        <w:t>2</w:t>
      </w:r>
      <w:r>
        <w:rPr>
          <w:rFonts w:hint="eastAsia"/>
          <w:b w:val="0"/>
          <w:bCs/>
          <w:sz w:val="24"/>
          <w:szCs w:val="24"/>
          <w:lang w:val="en-US" w:eastAsia="zh-CN"/>
        </w:rPr>
        <w:t>3</w:t>
      </w:r>
    </w:p>
    <w:p>
      <w:pPr>
        <w:pStyle w:val="17"/>
        <w:keepNext w:val="0"/>
        <w:keepLines w:val="0"/>
        <w:pageBreakBefore w:val="0"/>
        <w:widowControl/>
        <w:tabs>
          <w:tab w:val="right" w:leader="dot" w:pos="9145"/>
          <w:tab w:val="clear" w:pos="9016"/>
        </w:tabs>
        <w:kinsoku/>
        <w:wordWrap/>
        <w:overflowPunct/>
        <w:topLinePunct w:val="0"/>
        <w:autoSpaceDE/>
        <w:autoSpaceDN/>
        <w:bidi w:val="0"/>
        <w:adjustRightInd/>
        <w:snapToGrid/>
        <w:spacing w:after="0" w:line="360" w:lineRule="auto"/>
        <w:ind w:firstLine="422"/>
        <w:textAlignment w:val="auto"/>
        <w:rPr>
          <w:rFonts w:hint="eastAsia" w:eastAsia="宋体"/>
          <w:b w:val="0"/>
          <w:bCs/>
          <w:sz w:val="24"/>
          <w:szCs w:val="24"/>
          <w:lang w:val="en-US" w:eastAsia="zh-CN"/>
        </w:rPr>
      </w:pPr>
      <w:r>
        <w:rPr>
          <w:b w:val="0"/>
          <w:bCs/>
          <w:sz w:val="24"/>
          <w:szCs w:val="24"/>
        </w:rPr>
        <w:t xml:space="preserve">  </w:t>
      </w:r>
      <w:r>
        <w:rPr>
          <w:rFonts w:hint="eastAsia"/>
          <w:b w:val="0"/>
          <w:bCs/>
          <w:sz w:val="24"/>
          <w:szCs w:val="24"/>
          <w:lang w:val="en-US" w:eastAsia="zh-CN"/>
        </w:rPr>
        <w:t>5</w:t>
      </w:r>
      <w:r>
        <w:rPr>
          <w:b w:val="0"/>
          <w:bCs/>
          <w:sz w:val="24"/>
          <w:szCs w:val="24"/>
        </w:rPr>
        <w:t>.</w:t>
      </w:r>
      <w:r>
        <w:rPr>
          <w:rFonts w:hint="eastAsia"/>
          <w:b w:val="0"/>
          <w:bCs/>
          <w:sz w:val="24"/>
          <w:szCs w:val="24"/>
        </w:rPr>
        <w:t>3</w:t>
      </w:r>
      <w:r>
        <w:rPr>
          <w:b w:val="0"/>
          <w:bCs/>
          <w:sz w:val="24"/>
          <w:szCs w:val="24"/>
        </w:rPr>
        <w:t xml:space="preserve"> </w:t>
      </w:r>
      <w:r>
        <w:rPr>
          <w:rFonts w:hint="eastAsia"/>
          <w:b w:val="0"/>
          <w:bCs/>
          <w:sz w:val="24"/>
          <w:szCs w:val="24"/>
        </w:rPr>
        <w:t>Thermal design of the system</w:t>
      </w:r>
      <w:r>
        <w:rPr>
          <w:b w:val="0"/>
          <w:bCs/>
          <w:sz w:val="24"/>
          <w:szCs w:val="24"/>
        </w:rPr>
        <w:tab/>
      </w:r>
      <w:r>
        <w:rPr>
          <w:rFonts w:hint="eastAsia"/>
          <w:b w:val="0"/>
          <w:bCs/>
          <w:sz w:val="24"/>
          <w:szCs w:val="24"/>
        </w:rPr>
        <w:t>2</w:t>
      </w:r>
      <w:r>
        <w:rPr>
          <w:rFonts w:hint="eastAsia"/>
          <w:b w:val="0"/>
          <w:bCs/>
          <w:sz w:val="24"/>
          <w:szCs w:val="24"/>
          <w:lang w:val="en-US" w:eastAsia="zh-CN"/>
        </w:rPr>
        <w:t>9</w:t>
      </w:r>
    </w:p>
    <w:p>
      <w:pPr>
        <w:pStyle w:val="17"/>
        <w:keepNext w:val="0"/>
        <w:keepLines w:val="0"/>
        <w:pageBreakBefore w:val="0"/>
        <w:widowControl/>
        <w:tabs>
          <w:tab w:val="right" w:leader="dot" w:pos="9145"/>
          <w:tab w:val="clear" w:pos="9016"/>
        </w:tabs>
        <w:kinsoku/>
        <w:wordWrap/>
        <w:overflowPunct/>
        <w:topLinePunct w:val="0"/>
        <w:autoSpaceDE/>
        <w:autoSpaceDN/>
        <w:bidi w:val="0"/>
        <w:adjustRightInd/>
        <w:snapToGrid/>
        <w:spacing w:after="0" w:line="360" w:lineRule="auto"/>
        <w:ind w:firstLine="422"/>
        <w:textAlignment w:val="auto"/>
        <w:rPr>
          <w:rFonts w:hint="default" w:eastAsia="宋体"/>
          <w:b w:val="0"/>
          <w:bCs/>
          <w:sz w:val="24"/>
          <w:szCs w:val="24"/>
          <w:lang w:val="en-US" w:eastAsia="zh-CN"/>
        </w:rPr>
      </w:pPr>
      <w:r>
        <w:rPr>
          <w:rFonts w:hint="eastAsia"/>
          <w:b w:val="0"/>
          <w:bCs/>
          <w:sz w:val="24"/>
          <w:szCs w:val="24"/>
        </w:rPr>
        <w:t>6</w:t>
      </w:r>
      <w:r>
        <w:rPr>
          <w:b w:val="0"/>
          <w:bCs/>
          <w:sz w:val="24"/>
          <w:szCs w:val="24"/>
        </w:rPr>
        <w:t xml:space="preserve">  </w:t>
      </w:r>
      <w:r>
        <w:rPr>
          <w:rFonts w:hint="eastAsia"/>
          <w:b w:val="0"/>
          <w:bCs/>
          <w:sz w:val="24"/>
          <w:szCs w:val="24"/>
        </w:rPr>
        <w:t>Construction</w:t>
      </w:r>
      <w:r>
        <w:rPr>
          <w:b w:val="0"/>
          <w:bCs/>
          <w:sz w:val="24"/>
          <w:szCs w:val="24"/>
        </w:rPr>
        <w:tab/>
      </w:r>
      <w:r>
        <w:rPr>
          <w:rFonts w:hint="eastAsia"/>
          <w:b w:val="0"/>
          <w:bCs/>
          <w:sz w:val="24"/>
          <w:szCs w:val="24"/>
          <w:lang w:val="en-US" w:eastAsia="zh-CN"/>
        </w:rPr>
        <w:t>30</w:t>
      </w:r>
    </w:p>
    <w:p>
      <w:pPr>
        <w:pStyle w:val="17"/>
        <w:keepNext w:val="0"/>
        <w:keepLines w:val="0"/>
        <w:pageBreakBefore w:val="0"/>
        <w:widowControl/>
        <w:tabs>
          <w:tab w:val="right" w:leader="dot" w:pos="9145"/>
          <w:tab w:val="clear" w:pos="9016"/>
        </w:tabs>
        <w:kinsoku/>
        <w:wordWrap/>
        <w:overflowPunct/>
        <w:topLinePunct w:val="0"/>
        <w:autoSpaceDE/>
        <w:autoSpaceDN/>
        <w:bidi w:val="0"/>
        <w:adjustRightInd/>
        <w:snapToGrid/>
        <w:spacing w:after="0" w:line="360" w:lineRule="auto"/>
        <w:ind w:firstLine="422"/>
        <w:textAlignment w:val="auto"/>
        <w:rPr>
          <w:rFonts w:hint="default" w:eastAsia="宋体"/>
          <w:b w:val="0"/>
          <w:bCs/>
          <w:sz w:val="24"/>
          <w:szCs w:val="24"/>
          <w:lang w:val="en-US" w:eastAsia="zh-CN"/>
        </w:rPr>
      </w:pPr>
      <w:r>
        <w:rPr>
          <w:b w:val="0"/>
          <w:bCs/>
          <w:sz w:val="24"/>
          <w:szCs w:val="24"/>
        </w:rPr>
        <w:t xml:space="preserve">  </w:t>
      </w:r>
      <w:r>
        <w:rPr>
          <w:rFonts w:hint="eastAsia"/>
          <w:b w:val="0"/>
          <w:bCs/>
          <w:sz w:val="24"/>
          <w:szCs w:val="24"/>
        </w:rPr>
        <w:t>6</w:t>
      </w:r>
      <w:r>
        <w:rPr>
          <w:b w:val="0"/>
          <w:bCs/>
          <w:sz w:val="24"/>
          <w:szCs w:val="24"/>
        </w:rPr>
        <w:t xml:space="preserve">.1 </w:t>
      </w:r>
      <w:r>
        <w:rPr>
          <w:rFonts w:hint="eastAsia"/>
          <w:b w:val="0"/>
          <w:bCs/>
          <w:sz w:val="24"/>
          <w:szCs w:val="24"/>
        </w:rPr>
        <w:t>General</w:t>
      </w:r>
      <w:r>
        <w:rPr>
          <w:b w:val="0"/>
          <w:bCs/>
          <w:sz w:val="24"/>
          <w:szCs w:val="24"/>
        </w:rPr>
        <w:t xml:space="preserve"> requirements</w:t>
      </w:r>
      <w:r>
        <w:rPr>
          <w:b w:val="0"/>
          <w:bCs/>
          <w:sz w:val="24"/>
          <w:szCs w:val="24"/>
        </w:rPr>
        <w:tab/>
      </w:r>
      <w:r>
        <w:rPr>
          <w:rFonts w:hint="eastAsia"/>
          <w:b w:val="0"/>
          <w:bCs/>
          <w:sz w:val="24"/>
          <w:szCs w:val="24"/>
          <w:lang w:val="en-US" w:eastAsia="zh-CN"/>
        </w:rPr>
        <w:t>30</w:t>
      </w:r>
    </w:p>
    <w:p>
      <w:pPr>
        <w:pStyle w:val="17"/>
        <w:keepNext w:val="0"/>
        <w:keepLines w:val="0"/>
        <w:pageBreakBefore w:val="0"/>
        <w:widowControl/>
        <w:tabs>
          <w:tab w:val="right" w:leader="dot" w:pos="9145"/>
          <w:tab w:val="clear" w:pos="9016"/>
        </w:tabs>
        <w:kinsoku/>
        <w:wordWrap/>
        <w:overflowPunct/>
        <w:topLinePunct w:val="0"/>
        <w:autoSpaceDE/>
        <w:autoSpaceDN/>
        <w:bidi w:val="0"/>
        <w:adjustRightInd/>
        <w:snapToGrid/>
        <w:spacing w:after="0" w:line="360" w:lineRule="auto"/>
        <w:ind w:firstLine="422"/>
        <w:textAlignment w:val="auto"/>
        <w:rPr>
          <w:rFonts w:hint="default" w:eastAsia="宋体"/>
          <w:b w:val="0"/>
          <w:bCs/>
          <w:sz w:val="24"/>
          <w:szCs w:val="24"/>
          <w:lang w:val="en-US" w:eastAsia="zh-CN"/>
        </w:rPr>
      </w:pPr>
      <w:r>
        <w:rPr>
          <w:b w:val="0"/>
          <w:bCs/>
          <w:sz w:val="24"/>
          <w:szCs w:val="24"/>
        </w:rPr>
        <w:t xml:space="preserve">  </w:t>
      </w:r>
      <w:r>
        <w:rPr>
          <w:rFonts w:hint="eastAsia"/>
          <w:b w:val="0"/>
          <w:bCs/>
          <w:sz w:val="24"/>
          <w:szCs w:val="24"/>
        </w:rPr>
        <w:t>6</w:t>
      </w:r>
      <w:r>
        <w:rPr>
          <w:b w:val="0"/>
          <w:bCs/>
          <w:sz w:val="24"/>
          <w:szCs w:val="24"/>
        </w:rPr>
        <w:t>.2</w:t>
      </w:r>
      <w:r>
        <w:rPr>
          <w:rFonts w:hint="eastAsia"/>
          <w:b w:val="0"/>
          <w:bCs/>
          <w:sz w:val="24"/>
          <w:szCs w:val="24"/>
        </w:rPr>
        <w:t xml:space="preserve"> Construction process and key points</w:t>
      </w:r>
      <w:r>
        <w:rPr>
          <w:b w:val="0"/>
          <w:bCs/>
          <w:sz w:val="24"/>
          <w:szCs w:val="24"/>
        </w:rPr>
        <w:t xml:space="preserve"> </w:t>
      </w:r>
      <w:r>
        <w:rPr>
          <w:b w:val="0"/>
          <w:bCs/>
          <w:sz w:val="24"/>
          <w:szCs w:val="24"/>
        </w:rPr>
        <w:tab/>
      </w:r>
      <w:r>
        <w:rPr>
          <w:rFonts w:hint="eastAsia"/>
          <w:b w:val="0"/>
          <w:bCs/>
          <w:sz w:val="24"/>
          <w:szCs w:val="24"/>
          <w:lang w:val="en-US" w:eastAsia="zh-CN"/>
        </w:rPr>
        <w:t>31</w:t>
      </w:r>
    </w:p>
    <w:p>
      <w:pPr>
        <w:pStyle w:val="17"/>
        <w:keepNext w:val="0"/>
        <w:keepLines w:val="0"/>
        <w:pageBreakBefore w:val="0"/>
        <w:widowControl/>
        <w:tabs>
          <w:tab w:val="right" w:leader="dot" w:pos="9145"/>
          <w:tab w:val="clear" w:pos="9016"/>
        </w:tabs>
        <w:kinsoku/>
        <w:wordWrap/>
        <w:overflowPunct/>
        <w:topLinePunct w:val="0"/>
        <w:autoSpaceDE/>
        <w:autoSpaceDN/>
        <w:bidi w:val="0"/>
        <w:adjustRightInd/>
        <w:snapToGrid/>
        <w:spacing w:after="0" w:line="360" w:lineRule="auto"/>
        <w:ind w:firstLine="422"/>
        <w:textAlignment w:val="auto"/>
        <w:rPr>
          <w:rFonts w:hint="default" w:eastAsia="宋体"/>
          <w:b w:val="0"/>
          <w:bCs/>
          <w:sz w:val="24"/>
          <w:szCs w:val="24"/>
          <w:lang w:val="en-US" w:eastAsia="zh-CN"/>
        </w:rPr>
      </w:pPr>
      <w:r>
        <w:rPr>
          <w:b w:val="0"/>
          <w:bCs/>
          <w:sz w:val="24"/>
          <w:szCs w:val="24"/>
        </w:rPr>
        <w:t xml:space="preserve"> </w:t>
      </w:r>
      <w:r>
        <w:rPr>
          <w:rFonts w:hint="eastAsia"/>
          <w:b w:val="0"/>
          <w:bCs/>
          <w:sz w:val="24"/>
          <w:szCs w:val="24"/>
          <w:lang w:val="en-US" w:eastAsia="zh-CN"/>
        </w:rPr>
        <w:t xml:space="preserve"> </w:t>
      </w:r>
      <w:r>
        <w:rPr>
          <w:rFonts w:hint="eastAsia"/>
          <w:b w:val="0"/>
          <w:bCs/>
          <w:sz w:val="24"/>
          <w:szCs w:val="24"/>
        </w:rPr>
        <w:t>6</w:t>
      </w:r>
      <w:r>
        <w:rPr>
          <w:b w:val="0"/>
          <w:bCs/>
          <w:sz w:val="24"/>
          <w:szCs w:val="24"/>
        </w:rPr>
        <w:t>.</w:t>
      </w:r>
      <w:r>
        <w:rPr>
          <w:rFonts w:hint="eastAsia"/>
          <w:b w:val="0"/>
          <w:bCs/>
          <w:sz w:val="24"/>
          <w:szCs w:val="24"/>
          <w:lang w:val="en-US" w:eastAsia="zh-CN"/>
        </w:rPr>
        <w:t>3</w:t>
      </w:r>
      <w:r>
        <w:rPr>
          <w:rFonts w:hint="eastAsia"/>
          <w:b w:val="0"/>
          <w:bCs/>
          <w:sz w:val="24"/>
          <w:szCs w:val="24"/>
        </w:rPr>
        <w:t xml:space="preserve"> Construction safety</w:t>
      </w:r>
      <w:r>
        <w:rPr>
          <w:b w:val="0"/>
          <w:bCs/>
          <w:sz w:val="24"/>
          <w:szCs w:val="24"/>
        </w:rPr>
        <w:t xml:space="preserve"> </w:t>
      </w:r>
      <w:r>
        <w:rPr>
          <w:b w:val="0"/>
          <w:bCs/>
          <w:sz w:val="24"/>
          <w:szCs w:val="24"/>
        </w:rPr>
        <w:tab/>
      </w:r>
      <w:r>
        <w:rPr>
          <w:rFonts w:hint="eastAsia"/>
          <w:b w:val="0"/>
          <w:bCs/>
          <w:sz w:val="24"/>
          <w:szCs w:val="24"/>
          <w:lang w:val="en-US" w:eastAsia="zh-CN"/>
        </w:rPr>
        <w:t>34</w:t>
      </w:r>
    </w:p>
    <w:p>
      <w:pPr>
        <w:pStyle w:val="17"/>
        <w:keepNext w:val="0"/>
        <w:keepLines w:val="0"/>
        <w:pageBreakBefore w:val="0"/>
        <w:widowControl/>
        <w:tabs>
          <w:tab w:val="right" w:leader="dot" w:pos="9145"/>
          <w:tab w:val="clear" w:pos="9016"/>
        </w:tabs>
        <w:kinsoku/>
        <w:wordWrap/>
        <w:overflowPunct/>
        <w:topLinePunct w:val="0"/>
        <w:autoSpaceDE/>
        <w:autoSpaceDN/>
        <w:bidi w:val="0"/>
        <w:adjustRightInd/>
        <w:snapToGrid/>
        <w:spacing w:after="0" w:line="360" w:lineRule="auto"/>
        <w:ind w:firstLine="422"/>
        <w:textAlignment w:val="auto"/>
        <w:rPr>
          <w:rFonts w:hint="default" w:eastAsia="宋体"/>
          <w:b w:val="0"/>
          <w:bCs/>
          <w:sz w:val="24"/>
          <w:szCs w:val="24"/>
          <w:lang w:val="en-US" w:eastAsia="zh-CN"/>
        </w:rPr>
      </w:pPr>
      <w:r>
        <w:rPr>
          <w:rFonts w:hint="eastAsia"/>
          <w:b w:val="0"/>
          <w:bCs/>
          <w:sz w:val="24"/>
          <w:szCs w:val="24"/>
        </w:rPr>
        <w:t>7</w:t>
      </w:r>
      <w:r>
        <w:rPr>
          <w:b w:val="0"/>
          <w:bCs/>
          <w:sz w:val="24"/>
          <w:szCs w:val="24"/>
        </w:rPr>
        <w:t xml:space="preserve">  </w:t>
      </w:r>
      <w:r>
        <w:rPr>
          <w:rFonts w:hint="eastAsia"/>
          <w:b w:val="0"/>
          <w:bCs/>
          <w:sz w:val="24"/>
          <w:szCs w:val="24"/>
        </w:rPr>
        <w:t>Acceptance</w:t>
      </w:r>
      <w:r>
        <w:rPr>
          <w:b w:val="0"/>
          <w:bCs/>
          <w:sz w:val="24"/>
          <w:szCs w:val="24"/>
        </w:rPr>
        <w:tab/>
      </w:r>
      <w:r>
        <w:rPr>
          <w:rFonts w:hint="eastAsia"/>
          <w:b w:val="0"/>
          <w:bCs/>
          <w:sz w:val="24"/>
          <w:szCs w:val="24"/>
          <w:lang w:val="en-US" w:eastAsia="zh-CN"/>
        </w:rPr>
        <w:t>36</w:t>
      </w:r>
    </w:p>
    <w:p>
      <w:pPr>
        <w:pStyle w:val="17"/>
        <w:keepNext w:val="0"/>
        <w:keepLines w:val="0"/>
        <w:pageBreakBefore w:val="0"/>
        <w:widowControl/>
        <w:tabs>
          <w:tab w:val="right" w:leader="dot" w:pos="9145"/>
          <w:tab w:val="clear" w:pos="9016"/>
        </w:tabs>
        <w:kinsoku/>
        <w:wordWrap/>
        <w:overflowPunct/>
        <w:topLinePunct w:val="0"/>
        <w:autoSpaceDE/>
        <w:autoSpaceDN/>
        <w:bidi w:val="0"/>
        <w:adjustRightInd/>
        <w:snapToGrid/>
        <w:spacing w:after="0" w:line="360" w:lineRule="auto"/>
        <w:ind w:firstLine="422"/>
        <w:textAlignment w:val="auto"/>
        <w:rPr>
          <w:rFonts w:hint="default" w:eastAsia="宋体"/>
          <w:b w:val="0"/>
          <w:bCs/>
          <w:sz w:val="24"/>
          <w:szCs w:val="24"/>
          <w:lang w:val="en-US" w:eastAsia="zh-CN"/>
        </w:rPr>
      </w:pPr>
      <w:r>
        <w:rPr>
          <w:b w:val="0"/>
          <w:bCs/>
          <w:sz w:val="24"/>
          <w:szCs w:val="24"/>
        </w:rPr>
        <w:t xml:space="preserve">  </w:t>
      </w:r>
      <w:r>
        <w:rPr>
          <w:rFonts w:hint="eastAsia"/>
          <w:b w:val="0"/>
          <w:bCs/>
          <w:sz w:val="24"/>
          <w:szCs w:val="24"/>
        </w:rPr>
        <w:t>7</w:t>
      </w:r>
      <w:r>
        <w:rPr>
          <w:b w:val="0"/>
          <w:bCs/>
          <w:sz w:val="24"/>
          <w:szCs w:val="24"/>
        </w:rPr>
        <w:t xml:space="preserve">.1 General </w:t>
      </w:r>
      <w:r>
        <w:rPr>
          <w:rFonts w:hint="eastAsia"/>
          <w:b w:val="0"/>
          <w:bCs/>
          <w:sz w:val="24"/>
          <w:szCs w:val="24"/>
        </w:rPr>
        <w:t>r</w:t>
      </w:r>
      <w:r>
        <w:rPr>
          <w:b w:val="0"/>
          <w:bCs/>
          <w:sz w:val="24"/>
          <w:szCs w:val="24"/>
        </w:rPr>
        <w:t>equirement</w:t>
      </w:r>
      <w:r>
        <w:rPr>
          <w:b w:val="0"/>
          <w:bCs/>
          <w:sz w:val="24"/>
          <w:szCs w:val="24"/>
        </w:rPr>
        <w:tab/>
      </w:r>
      <w:r>
        <w:rPr>
          <w:rFonts w:hint="eastAsia"/>
          <w:b w:val="0"/>
          <w:bCs/>
          <w:sz w:val="24"/>
          <w:szCs w:val="24"/>
          <w:lang w:val="en-US" w:eastAsia="zh-CN"/>
        </w:rPr>
        <w:t>37</w:t>
      </w:r>
    </w:p>
    <w:p>
      <w:pPr>
        <w:pStyle w:val="17"/>
        <w:keepNext w:val="0"/>
        <w:keepLines w:val="0"/>
        <w:pageBreakBefore w:val="0"/>
        <w:widowControl/>
        <w:tabs>
          <w:tab w:val="right" w:leader="dot" w:pos="9145"/>
          <w:tab w:val="clear" w:pos="9016"/>
        </w:tabs>
        <w:kinsoku/>
        <w:wordWrap/>
        <w:overflowPunct/>
        <w:topLinePunct w:val="0"/>
        <w:autoSpaceDE/>
        <w:autoSpaceDN/>
        <w:bidi w:val="0"/>
        <w:adjustRightInd/>
        <w:snapToGrid/>
        <w:spacing w:after="0" w:line="360" w:lineRule="auto"/>
        <w:ind w:firstLine="422"/>
        <w:textAlignment w:val="auto"/>
        <w:rPr>
          <w:rFonts w:hint="default" w:eastAsia="宋体"/>
          <w:b w:val="0"/>
          <w:bCs/>
          <w:sz w:val="24"/>
          <w:szCs w:val="24"/>
          <w:lang w:val="en-US" w:eastAsia="zh-CN"/>
        </w:rPr>
      </w:pPr>
      <w:r>
        <w:rPr>
          <w:b w:val="0"/>
          <w:bCs/>
          <w:sz w:val="24"/>
          <w:szCs w:val="24"/>
        </w:rPr>
        <w:t xml:space="preserve">  </w:t>
      </w:r>
      <w:r>
        <w:rPr>
          <w:rFonts w:hint="eastAsia"/>
          <w:b w:val="0"/>
          <w:bCs/>
          <w:sz w:val="24"/>
          <w:szCs w:val="24"/>
        </w:rPr>
        <w:t>7</w:t>
      </w:r>
      <w:r>
        <w:rPr>
          <w:b w:val="0"/>
          <w:bCs/>
          <w:sz w:val="24"/>
          <w:szCs w:val="24"/>
        </w:rPr>
        <w:t xml:space="preserve">.2 Dominate </w:t>
      </w:r>
      <w:r>
        <w:rPr>
          <w:rFonts w:hint="eastAsia"/>
          <w:b w:val="0"/>
          <w:bCs/>
          <w:sz w:val="24"/>
          <w:szCs w:val="24"/>
        </w:rPr>
        <w:t>i</w:t>
      </w:r>
      <w:r>
        <w:rPr>
          <w:b w:val="0"/>
          <w:bCs/>
          <w:sz w:val="24"/>
          <w:szCs w:val="24"/>
        </w:rPr>
        <w:t>tems</w:t>
      </w:r>
      <w:r>
        <w:rPr>
          <w:b w:val="0"/>
          <w:bCs/>
          <w:sz w:val="24"/>
          <w:szCs w:val="24"/>
        </w:rPr>
        <w:tab/>
      </w:r>
      <w:r>
        <w:rPr>
          <w:rFonts w:hint="eastAsia"/>
          <w:b w:val="0"/>
          <w:bCs/>
          <w:sz w:val="24"/>
          <w:szCs w:val="24"/>
          <w:lang w:val="en-US" w:eastAsia="zh-CN"/>
        </w:rPr>
        <w:t>38</w:t>
      </w:r>
    </w:p>
    <w:p>
      <w:pPr>
        <w:pStyle w:val="17"/>
        <w:keepNext w:val="0"/>
        <w:keepLines w:val="0"/>
        <w:pageBreakBefore w:val="0"/>
        <w:widowControl/>
        <w:tabs>
          <w:tab w:val="right" w:leader="dot" w:pos="9145"/>
          <w:tab w:val="clear" w:pos="9016"/>
        </w:tabs>
        <w:kinsoku/>
        <w:wordWrap/>
        <w:overflowPunct/>
        <w:topLinePunct w:val="0"/>
        <w:autoSpaceDE/>
        <w:autoSpaceDN/>
        <w:bidi w:val="0"/>
        <w:adjustRightInd/>
        <w:snapToGrid/>
        <w:spacing w:after="0" w:line="360" w:lineRule="auto"/>
        <w:ind w:firstLine="422"/>
        <w:textAlignment w:val="auto"/>
        <w:rPr>
          <w:rFonts w:hint="default" w:eastAsia="宋体"/>
          <w:b w:val="0"/>
          <w:bCs/>
          <w:sz w:val="24"/>
          <w:szCs w:val="24"/>
          <w:lang w:val="en-US" w:eastAsia="zh-CN"/>
        </w:rPr>
      </w:pPr>
      <w:r>
        <w:rPr>
          <w:b w:val="0"/>
          <w:bCs/>
          <w:sz w:val="24"/>
          <w:szCs w:val="24"/>
        </w:rPr>
        <w:t xml:space="preserve">  </w:t>
      </w:r>
      <w:r>
        <w:rPr>
          <w:rFonts w:hint="eastAsia"/>
          <w:b w:val="0"/>
          <w:bCs/>
          <w:sz w:val="24"/>
          <w:szCs w:val="24"/>
        </w:rPr>
        <w:t>7</w:t>
      </w:r>
      <w:r>
        <w:rPr>
          <w:b w:val="0"/>
          <w:bCs/>
          <w:sz w:val="24"/>
          <w:szCs w:val="24"/>
        </w:rPr>
        <w:t xml:space="preserve">.3 General </w:t>
      </w:r>
      <w:r>
        <w:rPr>
          <w:rFonts w:hint="eastAsia"/>
          <w:b w:val="0"/>
          <w:bCs/>
          <w:sz w:val="24"/>
          <w:szCs w:val="24"/>
        </w:rPr>
        <w:t>i</w:t>
      </w:r>
      <w:r>
        <w:rPr>
          <w:b w:val="0"/>
          <w:bCs/>
          <w:sz w:val="24"/>
          <w:szCs w:val="24"/>
        </w:rPr>
        <w:t>tems</w:t>
      </w:r>
      <w:r>
        <w:rPr>
          <w:b w:val="0"/>
          <w:bCs/>
          <w:sz w:val="24"/>
          <w:szCs w:val="24"/>
        </w:rPr>
        <w:tab/>
      </w:r>
      <w:r>
        <w:rPr>
          <w:rFonts w:hint="eastAsia"/>
          <w:b w:val="0"/>
          <w:bCs/>
          <w:sz w:val="24"/>
          <w:szCs w:val="24"/>
          <w:lang w:val="en-US" w:eastAsia="zh-CN"/>
        </w:rPr>
        <w:t>39</w:t>
      </w:r>
    </w:p>
    <w:p>
      <w:pPr>
        <w:pStyle w:val="17"/>
        <w:keepNext w:val="0"/>
        <w:keepLines w:val="0"/>
        <w:pageBreakBefore w:val="0"/>
        <w:widowControl/>
        <w:tabs>
          <w:tab w:val="right" w:leader="dot" w:pos="9145"/>
          <w:tab w:val="clear" w:pos="9016"/>
        </w:tabs>
        <w:kinsoku/>
        <w:wordWrap/>
        <w:overflowPunct/>
        <w:topLinePunct w:val="0"/>
        <w:autoSpaceDE/>
        <w:autoSpaceDN/>
        <w:bidi w:val="0"/>
        <w:adjustRightInd/>
        <w:snapToGrid/>
        <w:spacing w:after="0" w:line="360" w:lineRule="auto"/>
        <w:ind w:firstLine="422"/>
        <w:textAlignment w:val="auto"/>
        <w:rPr>
          <w:rFonts w:hint="default" w:eastAsia="宋体"/>
          <w:b w:val="0"/>
          <w:bCs/>
          <w:sz w:val="24"/>
          <w:szCs w:val="24"/>
          <w:lang w:val="en-US" w:eastAsia="zh-CN"/>
        </w:rPr>
      </w:pPr>
      <w:r>
        <w:rPr>
          <w:b w:val="0"/>
          <w:bCs/>
          <w:sz w:val="24"/>
          <w:szCs w:val="24"/>
        </w:rPr>
        <w:t xml:space="preserve">  </w:t>
      </w:r>
      <w:r>
        <w:rPr>
          <w:rFonts w:hint="eastAsia"/>
          <w:b w:val="0"/>
          <w:bCs/>
          <w:sz w:val="24"/>
          <w:szCs w:val="24"/>
        </w:rPr>
        <w:t>7</w:t>
      </w:r>
      <w:r>
        <w:rPr>
          <w:b w:val="0"/>
          <w:bCs/>
          <w:sz w:val="24"/>
          <w:szCs w:val="24"/>
        </w:rPr>
        <w:t>.</w:t>
      </w:r>
      <w:r>
        <w:rPr>
          <w:rFonts w:hint="eastAsia"/>
          <w:b w:val="0"/>
          <w:bCs/>
          <w:sz w:val="24"/>
          <w:szCs w:val="24"/>
          <w:lang w:val="en-US" w:eastAsia="zh-CN"/>
        </w:rPr>
        <w:t>4</w:t>
      </w:r>
      <w:r>
        <w:rPr>
          <w:b w:val="0"/>
          <w:bCs/>
          <w:sz w:val="24"/>
          <w:szCs w:val="24"/>
        </w:rPr>
        <w:t xml:space="preserve"> </w:t>
      </w:r>
      <w:r>
        <w:rPr>
          <w:rFonts w:hint="eastAsia"/>
          <w:b w:val="0"/>
          <w:bCs/>
          <w:sz w:val="24"/>
          <w:szCs w:val="24"/>
        </w:rPr>
        <w:t>Acceptance data</w:t>
      </w:r>
      <w:r>
        <w:rPr>
          <w:b w:val="0"/>
          <w:bCs/>
          <w:sz w:val="24"/>
          <w:szCs w:val="24"/>
        </w:rPr>
        <w:tab/>
      </w:r>
      <w:r>
        <w:rPr>
          <w:rFonts w:hint="eastAsia"/>
          <w:b w:val="0"/>
          <w:bCs/>
          <w:sz w:val="24"/>
          <w:szCs w:val="24"/>
          <w:lang w:val="en-US" w:eastAsia="zh-CN"/>
        </w:rPr>
        <w:t>40</w:t>
      </w:r>
    </w:p>
    <w:p>
      <w:pPr>
        <w:pStyle w:val="17"/>
        <w:keepNext w:val="0"/>
        <w:keepLines w:val="0"/>
        <w:pageBreakBefore w:val="0"/>
        <w:widowControl/>
        <w:tabs>
          <w:tab w:val="right" w:leader="dot" w:pos="9145"/>
          <w:tab w:val="clear" w:pos="9016"/>
        </w:tabs>
        <w:kinsoku/>
        <w:wordWrap/>
        <w:overflowPunct/>
        <w:topLinePunct w:val="0"/>
        <w:autoSpaceDE/>
        <w:autoSpaceDN/>
        <w:bidi w:val="0"/>
        <w:adjustRightInd/>
        <w:snapToGrid/>
        <w:spacing w:after="0" w:line="360" w:lineRule="auto"/>
        <w:ind w:firstLine="422"/>
        <w:textAlignment w:val="auto"/>
        <w:rPr>
          <w:rFonts w:hint="default" w:eastAsia="宋体"/>
          <w:b w:val="0"/>
          <w:bCs/>
          <w:sz w:val="24"/>
          <w:szCs w:val="24"/>
          <w:lang w:val="en-US" w:eastAsia="zh-CN"/>
        </w:rPr>
      </w:pPr>
      <w:r>
        <w:rPr>
          <w:b w:val="0"/>
          <w:bCs/>
          <w:sz w:val="24"/>
          <w:szCs w:val="24"/>
        </w:rPr>
        <w:t>List of Quoted Standards</w:t>
      </w:r>
      <w:r>
        <w:rPr>
          <w:rFonts w:hint="eastAsia"/>
          <w:b w:val="0"/>
          <w:bCs/>
          <w:sz w:val="24"/>
          <w:szCs w:val="24"/>
        </w:rPr>
        <w:t>t</w:t>
      </w:r>
      <w:r>
        <w:rPr>
          <w:b w:val="0"/>
          <w:bCs/>
          <w:sz w:val="24"/>
          <w:szCs w:val="24"/>
        </w:rPr>
        <w:t xml:space="preserve"> </w:t>
      </w:r>
      <w:r>
        <w:rPr>
          <w:b w:val="0"/>
          <w:bCs/>
          <w:sz w:val="24"/>
          <w:szCs w:val="24"/>
        </w:rPr>
        <w:tab/>
      </w:r>
      <w:r>
        <w:rPr>
          <w:rFonts w:hint="eastAsia"/>
          <w:b w:val="0"/>
          <w:bCs/>
          <w:sz w:val="24"/>
          <w:szCs w:val="24"/>
          <w:lang w:val="en-US" w:eastAsia="zh-CN"/>
        </w:rPr>
        <w:t>42</w:t>
      </w:r>
    </w:p>
    <w:p>
      <w:pPr>
        <w:pStyle w:val="17"/>
        <w:keepNext w:val="0"/>
        <w:keepLines w:val="0"/>
        <w:pageBreakBefore w:val="0"/>
        <w:widowControl/>
        <w:tabs>
          <w:tab w:val="right" w:leader="dot" w:pos="9145"/>
          <w:tab w:val="clear" w:pos="9016"/>
        </w:tabs>
        <w:kinsoku/>
        <w:wordWrap/>
        <w:overflowPunct/>
        <w:topLinePunct w:val="0"/>
        <w:autoSpaceDE/>
        <w:autoSpaceDN/>
        <w:bidi w:val="0"/>
        <w:adjustRightInd/>
        <w:snapToGrid/>
        <w:spacing w:after="0" w:line="360" w:lineRule="auto"/>
        <w:ind w:firstLine="422"/>
        <w:textAlignment w:val="auto"/>
        <w:rPr>
          <w:rFonts w:hint="default" w:eastAsia="宋体"/>
          <w:b w:val="0"/>
          <w:bCs/>
          <w:sz w:val="24"/>
          <w:szCs w:val="24"/>
          <w:lang w:val="en-US" w:eastAsia="zh-CN"/>
        </w:rPr>
      </w:pPr>
      <w:r>
        <w:rPr>
          <w:rFonts w:hint="eastAsia"/>
          <w:b w:val="0"/>
          <w:bCs/>
          <w:sz w:val="24"/>
          <w:szCs w:val="24"/>
          <w:lang w:val="en-US" w:eastAsia="zh-CN"/>
        </w:rPr>
        <w:t>Explanation of provisions</w:t>
      </w:r>
      <w:r>
        <w:rPr>
          <w:b w:val="0"/>
          <w:bCs/>
          <w:sz w:val="24"/>
          <w:szCs w:val="24"/>
        </w:rPr>
        <w:t xml:space="preserve"> </w:t>
      </w:r>
      <w:r>
        <w:rPr>
          <w:b w:val="0"/>
          <w:bCs/>
          <w:sz w:val="24"/>
          <w:szCs w:val="24"/>
        </w:rPr>
        <w:tab/>
      </w:r>
      <w:r>
        <w:rPr>
          <w:rFonts w:hint="eastAsia"/>
          <w:b w:val="0"/>
          <w:bCs/>
          <w:sz w:val="24"/>
          <w:szCs w:val="24"/>
          <w:lang w:val="en-US" w:eastAsia="zh-CN"/>
        </w:rPr>
        <w:t>43</w:t>
      </w:r>
    </w:p>
    <w:p>
      <w:pPr>
        <w:keepNext w:val="0"/>
        <w:keepLines w:val="0"/>
        <w:pageBreakBefore w:val="0"/>
        <w:widowControl/>
        <w:kinsoku/>
        <w:wordWrap/>
        <w:overflowPunct/>
        <w:topLinePunct w:val="0"/>
        <w:autoSpaceDE/>
        <w:autoSpaceDN/>
        <w:bidi w:val="0"/>
        <w:adjustRightInd/>
        <w:snapToGrid/>
        <w:spacing w:after="0" w:line="360" w:lineRule="auto"/>
        <w:textAlignment w:val="auto"/>
        <w:rPr>
          <w:rFonts w:hint="eastAsia"/>
          <w:lang w:val="en-US" w:eastAsia="zh-CN"/>
        </w:rPr>
      </w:pPr>
    </w:p>
    <w:p>
      <w:pPr>
        <w:rPr>
          <w:color w:val="auto"/>
          <w:highlight w:val="none"/>
        </w:rPr>
      </w:pPr>
    </w:p>
    <w:p>
      <w:pPr>
        <w:pStyle w:val="4"/>
        <w:bidi w:val="0"/>
        <w:rPr>
          <w:color w:val="auto"/>
          <w:highlight w:val="none"/>
        </w:rPr>
        <w:sectPr>
          <w:footerReference r:id="rId10" w:type="default"/>
          <w:pgSz w:w="11906" w:h="16838"/>
          <w:pgMar w:top="1440" w:right="1440" w:bottom="1440" w:left="144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pStyle w:val="4"/>
        <w:bidi w:val="0"/>
        <w:rPr>
          <w:color w:val="auto"/>
          <w:highlight w:val="none"/>
        </w:rPr>
      </w:pPr>
      <w:r>
        <w:rPr>
          <w:color w:val="auto"/>
          <w:highlight w:val="none"/>
        </w:rPr>
        <w:t xml:space="preserve">1  </w:t>
      </w:r>
      <w:r>
        <w:rPr>
          <w:rFonts w:hint="eastAsia"/>
          <w:color w:val="auto"/>
          <w:highlight w:val="none"/>
        </w:rPr>
        <w:t>总则</w:t>
      </w:r>
      <w:bookmarkEnd w:id="9"/>
    </w:p>
    <w:p>
      <w:pPr>
        <w:pStyle w:val="18"/>
        <w:keepNext w:val="0"/>
        <w:keepLines w:val="0"/>
        <w:pageBreakBefore w:val="0"/>
        <w:widowControl w:val="0"/>
        <w:kinsoku/>
        <w:wordWrap/>
        <w:overflowPunct/>
        <w:topLinePunct w:val="0"/>
        <w:autoSpaceDE/>
        <w:autoSpaceDN/>
        <w:bidi w:val="0"/>
        <w:adjustRightInd/>
        <w:snapToGrid/>
        <w:jc w:val="left"/>
        <w:textAlignment w:val="auto"/>
        <w:outlineLvl w:val="2"/>
        <w:rPr>
          <w:b w:val="0"/>
          <w:color w:val="auto"/>
          <w:sz w:val="24"/>
          <w:szCs w:val="24"/>
          <w:highlight w:val="none"/>
        </w:rPr>
      </w:pPr>
      <w:bookmarkStart w:id="10" w:name="_Toc29252"/>
      <w:bookmarkStart w:id="11" w:name="_Toc9913"/>
      <w:bookmarkStart w:id="12" w:name="_Toc14385"/>
      <w:bookmarkStart w:id="13" w:name="_Toc7829"/>
      <w:bookmarkStart w:id="14" w:name="_Toc16547"/>
      <w:bookmarkStart w:id="15" w:name="_Toc5115"/>
      <w:bookmarkStart w:id="16" w:name="_Toc13194"/>
      <w:bookmarkStart w:id="17" w:name="_Toc1334"/>
      <w:bookmarkStart w:id="18" w:name="_Toc30861"/>
      <w:bookmarkStart w:id="19" w:name="_Toc882"/>
      <w:bookmarkStart w:id="20" w:name="_Toc2467"/>
      <w:bookmarkStart w:id="21" w:name="_Toc16534"/>
      <w:r>
        <w:rPr>
          <w:b w:val="0"/>
          <w:color w:val="auto"/>
          <w:sz w:val="24"/>
          <w:szCs w:val="24"/>
          <w:highlight w:val="none"/>
        </w:rPr>
        <w:t xml:space="preserve">1.0.1 </w:t>
      </w:r>
      <w:r>
        <w:rPr>
          <w:rFonts w:hint="eastAsia"/>
          <w:b w:val="0"/>
          <w:color w:val="auto"/>
          <w:sz w:val="24"/>
          <w:szCs w:val="24"/>
          <w:highlight w:val="none"/>
        </w:rPr>
        <w:t>为规范建筑</w:t>
      </w:r>
      <w:r>
        <w:rPr>
          <w:b w:val="0"/>
          <w:color w:val="auto"/>
          <w:sz w:val="24"/>
          <w:szCs w:val="24"/>
          <w:highlight w:val="none"/>
        </w:rPr>
        <w:t>外墙内保温</w:t>
      </w:r>
      <w:r>
        <w:rPr>
          <w:rFonts w:hint="eastAsia"/>
          <w:b w:val="0"/>
          <w:color w:val="auto"/>
          <w:sz w:val="24"/>
          <w:szCs w:val="24"/>
          <w:highlight w:val="none"/>
        </w:rPr>
        <w:t>复合板系统的工程</w:t>
      </w:r>
      <w:r>
        <w:rPr>
          <w:b w:val="0"/>
          <w:color w:val="auto"/>
          <w:sz w:val="24"/>
          <w:szCs w:val="24"/>
          <w:highlight w:val="none"/>
        </w:rPr>
        <w:t>应用，</w:t>
      </w:r>
      <w:r>
        <w:rPr>
          <w:rFonts w:hint="eastAsia"/>
          <w:b w:val="0"/>
          <w:color w:val="auto"/>
          <w:sz w:val="24"/>
          <w:szCs w:val="24"/>
          <w:highlight w:val="none"/>
        </w:rPr>
        <w:t>做到技术先进、安全可靠、经济合理，制定本标准。</w:t>
      </w:r>
      <w:bookmarkEnd w:id="10"/>
      <w:bookmarkEnd w:id="11"/>
      <w:bookmarkEnd w:id="12"/>
      <w:bookmarkEnd w:id="13"/>
      <w:bookmarkEnd w:id="14"/>
      <w:bookmarkEnd w:id="15"/>
      <w:bookmarkEnd w:id="16"/>
      <w:bookmarkEnd w:id="17"/>
      <w:bookmarkEnd w:id="18"/>
      <w:bookmarkEnd w:id="19"/>
      <w:bookmarkEnd w:id="20"/>
      <w:bookmarkEnd w:id="21"/>
    </w:p>
    <w:p>
      <w:pPr>
        <w:pStyle w:val="18"/>
        <w:keepNext w:val="0"/>
        <w:keepLines w:val="0"/>
        <w:pageBreakBefore w:val="0"/>
        <w:widowControl w:val="0"/>
        <w:kinsoku/>
        <w:wordWrap/>
        <w:overflowPunct/>
        <w:topLinePunct w:val="0"/>
        <w:autoSpaceDE/>
        <w:autoSpaceDN/>
        <w:bidi w:val="0"/>
        <w:adjustRightInd/>
        <w:snapToGrid/>
        <w:jc w:val="left"/>
        <w:textAlignment w:val="auto"/>
        <w:outlineLvl w:val="2"/>
        <w:rPr>
          <w:b w:val="0"/>
          <w:color w:val="auto"/>
          <w:sz w:val="24"/>
          <w:szCs w:val="24"/>
          <w:highlight w:val="none"/>
        </w:rPr>
      </w:pPr>
      <w:bookmarkStart w:id="22" w:name="_Toc28800"/>
      <w:bookmarkStart w:id="23" w:name="_Toc27928"/>
      <w:bookmarkStart w:id="24" w:name="_Toc11691"/>
      <w:bookmarkStart w:id="25" w:name="_Toc744"/>
      <w:bookmarkStart w:id="26" w:name="_Toc23923"/>
      <w:bookmarkStart w:id="27" w:name="_Toc30095"/>
      <w:bookmarkStart w:id="28" w:name="_Toc24159"/>
      <w:bookmarkStart w:id="29" w:name="_Toc17681"/>
      <w:bookmarkStart w:id="30" w:name="_Toc8378"/>
      <w:bookmarkStart w:id="31" w:name="_Toc5288"/>
      <w:bookmarkStart w:id="32" w:name="_Toc8906"/>
      <w:bookmarkStart w:id="33" w:name="_Toc30657"/>
      <w:bookmarkStart w:id="34" w:name="_Toc24228"/>
      <w:r>
        <w:rPr>
          <w:b w:val="0"/>
          <w:color w:val="auto"/>
          <w:sz w:val="24"/>
          <w:szCs w:val="24"/>
          <w:highlight w:val="none"/>
        </w:rPr>
        <w:t xml:space="preserve">1.0.2 </w:t>
      </w:r>
      <w:r>
        <w:rPr>
          <w:rFonts w:hint="eastAsia"/>
          <w:b w:val="0"/>
          <w:color w:val="auto"/>
          <w:sz w:val="24"/>
          <w:szCs w:val="24"/>
          <w:highlight w:val="none"/>
        </w:rPr>
        <w:t>本标准适用于新建、改建、扩建民用建筑外墙内保温复合板保温工程的材料、设计、施工及验收，既有建筑节能改造工程可参照执行。</w:t>
      </w:r>
      <w:bookmarkEnd w:id="22"/>
      <w:bookmarkEnd w:id="23"/>
      <w:bookmarkEnd w:id="24"/>
      <w:bookmarkEnd w:id="25"/>
      <w:bookmarkEnd w:id="26"/>
      <w:bookmarkEnd w:id="27"/>
      <w:bookmarkEnd w:id="28"/>
      <w:bookmarkEnd w:id="29"/>
      <w:bookmarkEnd w:id="30"/>
      <w:bookmarkEnd w:id="31"/>
      <w:bookmarkEnd w:id="32"/>
      <w:bookmarkEnd w:id="33"/>
      <w:bookmarkEnd w:id="34"/>
    </w:p>
    <w:p>
      <w:pPr>
        <w:pStyle w:val="18"/>
        <w:keepNext w:val="0"/>
        <w:keepLines w:val="0"/>
        <w:pageBreakBefore w:val="0"/>
        <w:widowControl w:val="0"/>
        <w:kinsoku/>
        <w:wordWrap/>
        <w:overflowPunct/>
        <w:topLinePunct w:val="0"/>
        <w:autoSpaceDE/>
        <w:autoSpaceDN/>
        <w:bidi w:val="0"/>
        <w:adjustRightInd/>
        <w:snapToGrid/>
        <w:jc w:val="left"/>
        <w:textAlignment w:val="auto"/>
        <w:outlineLvl w:val="2"/>
        <w:rPr>
          <w:b w:val="0"/>
          <w:color w:val="auto"/>
          <w:sz w:val="24"/>
          <w:szCs w:val="24"/>
          <w:highlight w:val="none"/>
        </w:rPr>
      </w:pPr>
      <w:bookmarkStart w:id="35" w:name="_Toc19537"/>
      <w:bookmarkStart w:id="36" w:name="_Toc8202"/>
      <w:bookmarkStart w:id="37" w:name="_Toc29280"/>
      <w:bookmarkStart w:id="38" w:name="_Toc3454"/>
      <w:bookmarkStart w:id="39" w:name="_Toc21434"/>
      <w:bookmarkStart w:id="40" w:name="_Toc4433"/>
      <w:bookmarkStart w:id="41" w:name="_Toc11417"/>
      <w:bookmarkStart w:id="42" w:name="_Toc8061"/>
      <w:bookmarkStart w:id="43" w:name="_Toc28962"/>
      <w:bookmarkStart w:id="44" w:name="_Toc18102"/>
      <w:bookmarkStart w:id="45" w:name="_Toc24829"/>
      <w:bookmarkStart w:id="46" w:name="_Toc31642"/>
      <w:r>
        <w:rPr>
          <w:b w:val="0"/>
          <w:color w:val="auto"/>
          <w:sz w:val="24"/>
          <w:szCs w:val="24"/>
          <w:highlight w:val="none"/>
        </w:rPr>
        <w:t xml:space="preserve">1.0.3 </w:t>
      </w:r>
      <w:r>
        <w:rPr>
          <w:rFonts w:hint="eastAsia"/>
          <w:b w:val="0"/>
          <w:color w:val="auto"/>
          <w:sz w:val="24"/>
          <w:szCs w:val="24"/>
          <w:highlight w:val="none"/>
        </w:rPr>
        <w:t>建筑外墙</w:t>
      </w:r>
      <w:r>
        <w:rPr>
          <w:b w:val="0"/>
          <w:color w:val="auto"/>
          <w:sz w:val="24"/>
          <w:szCs w:val="24"/>
          <w:highlight w:val="none"/>
        </w:rPr>
        <w:t>内</w:t>
      </w:r>
      <w:r>
        <w:rPr>
          <w:rFonts w:hint="eastAsia"/>
          <w:b w:val="0"/>
          <w:color w:val="auto"/>
          <w:sz w:val="24"/>
          <w:szCs w:val="24"/>
          <w:highlight w:val="none"/>
        </w:rPr>
        <w:t>保温复合板</w:t>
      </w:r>
      <w:r>
        <w:rPr>
          <w:b w:val="0"/>
          <w:color w:val="auto"/>
          <w:sz w:val="24"/>
          <w:szCs w:val="24"/>
          <w:highlight w:val="none"/>
        </w:rPr>
        <w:t>系统</w:t>
      </w:r>
      <w:r>
        <w:rPr>
          <w:rFonts w:hint="eastAsia"/>
          <w:b w:val="0"/>
          <w:color w:val="auto"/>
          <w:sz w:val="24"/>
          <w:szCs w:val="24"/>
          <w:highlight w:val="none"/>
        </w:rPr>
        <w:t>工程材料、设计、施工及验收除应执行本标准外，尚应符合国家、行业和重庆市现行有关标准的规定。</w:t>
      </w:r>
      <w:bookmarkEnd w:id="35"/>
      <w:bookmarkEnd w:id="36"/>
      <w:bookmarkEnd w:id="37"/>
      <w:bookmarkEnd w:id="38"/>
      <w:bookmarkEnd w:id="39"/>
      <w:bookmarkEnd w:id="40"/>
      <w:bookmarkEnd w:id="41"/>
      <w:bookmarkEnd w:id="42"/>
      <w:bookmarkEnd w:id="43"/>
      <w:bookmarkEnd w:id="44"/>
      <w:bookmarkEnd w:id="45"/>
      <w:bookmarkEnd w:id="46"/>
    </w:p>
    <w:p>
      <w:pPr>
        <w:pStyle w:val="2"/>
        <w:ind w:left="0" w:leftChars="0" w:firstLine="0" w:firstLineChars="0"/>
        <w:rPr>
          <w:rFonts w:hint="default"/>
          <w:color w:val="auto"/>
          <w:sz w:val="24"/>
          <w:szCs w:val="24"/>
          <w:highlight w:val="none"/>
          <w:lang w:val="en-US" w:eastAsia="zh-CN"/>
        </w:rPr>
      </w:pPr>
      <w:r>
        <w:rPr>
          <w:rFonts w:hint="eastAsia" w:ascii="楷体" w:hAnsi="楷体" w:eastAsia="楷体"/>
          <w:color w:val="auto"/>
          <w:sz w:val="24"/>
          <w:szCs w:val="24"/>
          <w:highlight w:val="none"/>
        </w:rPr>
        <w:t>【条文说明】</w:t>
      </w:r>
      <w:r>
        <w:rPr>
          <w:rFonts w:hint="eastAsia" w:ascii="楷体" w:hAnsi="楷体" w:eastAsia="楷体"/>
          <w:color w:val="auto"/>
          <w:sz w:val="24"/>
          <w:szCs w:val="24"/>
          <w:highlight w:val="none"/>
          <w:lang w:val="en-US" w:eastAsia="zh-CN"/>
        </w:rPr>
        <w:t>为了解决薄抹灰墙体保温系统施工质量和系统性能受施工作业人员作业影响较大的问题，</w:t>
      </w:r>
      <w:r>
        <w:rPr>
          <w:rFonts w:hint="eastAsia"/>
          <w:color w:val="auto"/>
          <w:sz w:val="24"/>
          <w:szCs w:val="24"/>
          <w:highlight w:val="none"/>
          <w:lang w:val="en-US" w:eastAsia="zh-CN"/>
        </w:rPr>
        <w:t>进一步丰富我市墙体保温系统的种类</w:t>
      </w:r>
      <w:r>
        <w:rPr>
          <w:rFonts w:hint="eastAsia" w:ascii="楷体" w:hAnsi="楷体" w:eastAsia="楷体"/>
          <w:color w:val="auto"/>
          <w:sz w:val="24"/>
          <w:szCs w:val="24"/>
          <w:highlight w:val="none"/>
          <w:lang w:val="en-US" w:eastAsia="zh-CN"/>
        </w:rPr>
        <w:t>，</w:t>
      </w:r>
      <w:r>
        <w:rPr>
          <w:rFonts w:hint="eastAsia"/>
          <w:color w:val="auto"/>
          <w:sz w:val="24"/>
          <w:szCs w:val="24"/>
          <w:highlight w:val="none"/>
          <w:lang w:val="en-US" w:eastAsia="zh-CN"/>
        </w:rPr>
        <w:t>提升建筑外墙内保温工程实施质量。</w:t>
      </w:r>
      <w:r>
        <w:rPr>
          <w:rFonts w:hint="eastAsia" w:ascii="楷体" w:hAnsi="楷体" w:eastAsia="楷体"/>
          <w:color w:val="auto"/>
          <w:sz w:val="24"/>
          <w:szCs w:val="24"/>
          <w:highlight w:val="none"/>
          <w:lang w:val="en-US" w:eastAsia="zh-CN"/>
        </w:rPr>
        <w:t>按照推动建筑高品质高质量发展、低碳发展总要求，</w:t>
      </w:r>
      <w:r>
        <w:rPr>
          <w:rFonts w:hint="eastAsia"/>
          <w:color w:val="auto"/>
          <w:sz w:val="24"/>
          <w:szCs w:val="24"/>
          <w:highlight w:val="none"/>
          <w:lang w:val="en-US" w:eastAsia="zh-CN"/>
        </w:rPr>
        <w:t>为建筑外墙内保温系统提供科学、有效的保温技术措施。按照工厂化生产、工业化施工的技术思路，在保证系统性能的同时，缩短工期，减少资源浪费和环境污染，进一步提升确保建筑内保温系统整体性能，制定本标准。</w:t>
      </w:r>
    </w:p>
    <w:p>
      <w:pPr>
        <w:rPr>
          <w:rFonts w:ascii="Times New Roman" w:hAnsi="Times New Roman"/>
          <w:color w:val="auto"/>
          <w:sz w:val="28"/>
          <w:szCs w:val="28"/>
          <w:highlight w:val="none"/>
        </w:rPr>
      </w:pPr>
      <w:bookmarkStart w:id="47" w:name="_Toc427234976"/>
      <w:bookmarkStart w:id="48" w:name="_Toc68"/>
      <w:bookmarkStart w:id="49" w:name="_Toc314819613"/>
      <w:bookmarkStart w:id="50" w:name="_Toc32387"/>
      <w:bookmarkStart w:id="51" w:name="_Toc524349276"/>
      <w:bookmarkStart w:id="52" w:name="_Toc7130"/>
      <w:bookmarkStart w:id="53" w:name="_Toc6395471"/>
      <w:bookmarkStart w:id="54" w:name="_Toc21585"/>
      <w:bookmarkStart w:id="55" w:name="_Toc314819900"/>
      <w:bookmarkStart w:id="56" w:name="_Toc15292"/>
      <w:r>
        <w:rPr>
          <w:rFonts w:ascii="Times New Roman" w:hAnsi="Times New Roman"/>
          <w:color w:val="auto"/>
          <w:sz w:val="28"/>
          <w:szCs w:val="28"/>
          <w:highlight w:val="none"/>
        </w:rPr>
        <w:br w:type="page"/>
      </w:r>
    </w:p>
    <w:p>
      <w:pPr>
        <w:pStyle w:val="4"/>
        <w:bidi w:val="0"/>
        <w:rPr>
          <w:color w:val="auto"/>
          <w:highlight w:val="none"/>
        </w:rPr>
      </w:pPr>
      <w:bookmarkStart w:id="57" w:name="_Toc286"/>
      <w:r>
        <w:rPr>
          <w:color w:val="auto"/>
          <w:highlight w:val="none"/>
        </w:rPr>
        <w:t xml:space="preserve">2  </w:t>
      </w:r>
      <w:r>
        <w:rPr>
          <w:rFonts w:hint="eastAsia"/>
          <w:color w:val="auto"/>
          <w:highlight w:val="none"/>
        </w:rPr>
        <w:t>术  语</w:t>
      </w:r>
      <w:bookmarkEnd w:id="47"/>
      <w:bookmarkEnd w:id="48"/>
      <w:bookmarkEnd w:id="49"/>
      <w:bookmarkEnd w:id="50"/>
      <w:bookmarkEnd w:id="51"/>
      <w:bookmarkEnd w:id="52"/>
      <w:bookmarkEnd w:id="53"/>
      <w:bookmarkEnd w:id="54"/>
      <w:bookmarkEnd w:id="55"/>
      <w:bookmarkEnd w:id="56"/>
      <w:bookmarkEnd w:id="57"/>
    </w:p>
    <w:p>
      <w:pPr>
        <w:pStyle w:val="18"/>
        <w:jc w:val="left"/>
        <w:outlineLvl w:val="2"/>
        <w:rPr>
          <w:rFonts w:hint="default" w:ascii="Times New Roman" w:hAnsi="Times New Roman" w:cs="Times New Roman" w:eastAsiaTheme="minorEastAsia"/>
          <w:b w:val="0"/>
          <w:color w:val="auto"/>
          <w:sz w:val="24"/>
          <w:szCs w:val="24"/>
          <w:highlight w:val="none"/>
        </w:rPr>
      </w:pPr>
      <w:bookmarkStart w:id="58" w:name="_Toc16408"/>
      <w:bookmarkStart w:id="59" w:name="_Toc19278"/>
      <w:bookmarkStart w:id="60" w:name="_Toc2133"/>
      <w:bookmarkStart w:id="61" w:name="_Toc26115"/>
      <w:bookmarkStart w:id="62" w:name="_Toc11476"/>
      <w:bookmarkStart w:id="63" w:name="_Toc30385"/>
      <w:bookmarkStart w:id="64" w:name="_Toc14250"/>
      <w:bookmarkStart w:id="65" w:name="_Toc32185"/>
      <w:bookmarkStart w:id="66" w:name="_Toc19159"/>
      <w:bookmarkStart w:id="67" w:name="_Toc4641"/>
      <w:bookmarkStart w:id="68" w:name="_Toc31353"/>
      <w:r>
        <w:rPr>
          <w:rFonts w:hint="default" w:ascii="Times New Roman" w:hAnsi="Times New Roman" w:cs="Times New Roman" w:eastAsiaTheme="minorEastAsia"/>
          <w:b w:val="0"/>
          <w:color w:val="auto"/>
          <w:sz w:val="24"/>
          <w:szCs w:val="24"/>
          <w:highlight w:val="none"/>
        </w:rPr>
        <w:t>2.0.1 外墙内保温复合板系统</w:t>
      </w:r>
      <w:bookmarkEnd w:id="58"/>
      <w:bookmarkEnd w:id="59"/>
      <w:bookmarkEnd w:id="60"/>
      <w:bookmarkEnd w:id="61"/>
      <w:bookmarkEnd w:id="62"/>
      <w:bookmarkEnd w:id="63"/>
      <w:bookmarkEnd w:id="64"/>
      <w:bookmarkEnd w:id="65"/>
      <w:bookmarkEnd w:id="66"/>
      <w:bookmarkEnd w:id="67"/>
      <w:bookmarkEnd w:id="68"/>
      <w:r>
        <w:rPr>
          <w:rFonts w:hint="default" w:ascii="Times New Roman" w:hAnsi="Times New Roman" w:cs="Times New Roman" w:eastAsiaTheme="minorEastAsia"/>
          <w:b w:val="0"/>
          <w:color w:val="auto"/>
          <w:sz w:val="24"/>
          <w:szCs w:val="24"/>
          <w:highlight w:val="none"/>
        </w:rPr>
        <w:t>Exterior wall insulation composite panel system</w:t>
      </w:r>
    </w:p>
    <w:p>
      <w:pPr>
        <w:widowControl/>
        <w:spacing w:line="360" w:lineRule="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 xml:space="preserve">  由外墙内保温复合板、粘结材料、锚栓、嵌缝材料、接缝带和饰面层等组成，在建筑工程施工现场采用一定的组合方式进行安装施工，固定于外墙基层墙体内侧的非承重保温构造。</w:t>
      </w:r>
    </w:p>
    <w:p>
      <w:pPr>
        <w:pStyle w:val="18"/>
        <w:jc w:val="left"/>
        <w:outlineLvl w:val="2"/>
        <w:rPr>
          <w:rFonts w:hint="default" w:ascii="Times New Roman" w:hAnsi="Times New Roman" w:cs="Times New Roman" w:eastAsiaTheme="minorEastAsia"/>
          <w:b w:val="0"/>
          <w:color w:val="auto"/>
          <w:sz w:val="24"/>
          <w:szCs w:val="24"/>
          <w:highlight w:val="none"/>
        </w:rPr>
      </w:pPr>
      <w:bookmarkStart w:id="69" w:name="_Toc25064"/>
      <w:bookmarkStart w:id="70" w:name="_Toc23564"/>
      <w:r>
        <w:rPr>
          <w:rFonts w:hint="default" w:ascii="Times New Roman" w:hAnsi="Times New Roman" w:cs="Times New Roman" w:eastAsiaTheme="minorEastAsia"/>
          <w:b w:val="0"/>
          <w:color w:val="auto"/>
          <w:sz w:val="24"/>
          <w:szCs w:val="24"/>
          <w:highlight w:val="none"/>
        </w:rPr>
        <w:t>2.0.2 内保温复合板</w:t>
      </w:r>
      <w:bookmarkEnd w:id="69"/>
      <w:bookmarkEnd w:id="70"/>
      <w:r>
        <w:rPr>
          <w:rFonts w:hint="default" w:ascii="Times New Roman" w:hAnsi="Times New Roman" w:cs="Times New Roman" w:eastAsiaTheme="minorEastAsia"/>
          <w:b w:val="0"/>
          <w:color w:val="auto"/>
          <w:sz w:val="24"/>
          <w:szCs w:val="24"/>
          <w:highlight w:val="none"/>
        </w:rPr>
        <w:t>Interior insulation composite board</w:t>
      </w:r>
    </w:p>
    <w:p>
      <w:pPr>
        <w:widowControl/>
        <w:spacing w:line="360" w:lineRule="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ab/>
      </w:r>
      <w:r>
        <w:rPr>
          <w:rFonts w:hint="default" w:ascii="Times New Roman" w:hAnsi="Times New Roman" w:cs="Times New Roman" w:eastAsiaTheme="minorEastAsia"/>
          <w:color w:val="auto"/>
          <w:sz w:val="24"/>
          <w:szCs w:val="24"/>
          <w:highlight w:val="none"/>
        </w:rPr>
        <w:t>保温材料单侧复合无机面层，在工厂预制成型，用于外墙内侧，具有保温、隔热和防护功能的板材制品，简称复合板。</w:t>
      </w:r>
    </w:p>
    <w:p>
      <w:pPr>
        <w:keepNext w:val="0"/>
        <w:keepLines w:val="0"/>
        <w:pageBreakBefore w:val="0"/>
        <w:widowControl/>
        <w:kinsoku/>
        <w:wordWrap/>
        <w:overflowPunct/>
        <w:topLinePunct w:val="0"/>
        <w:autoSpaceDE/>
        <w:autoSpaceDN/>
        <w:bidi w:val="0"/>
        <w:adjustRightInd/>
        <w:snapToGrid/>
        <w:spacing w:line="360" w:lineRule="auto"/>
        <w:textAlignment w:val="auto"/>
        <w:outlineLvl w:val="2"/>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lang w:val="en-US" w:eastAsia="zh-CN"/>
        </w:rPr>
        <w:t xml:space="preserve">2.0.3 粘结石膏 gypsum binders </w:t>
      </w:r>
    </w:p>
    <w:p>
      <w:pPr>
        <w:widowControl/>
        <w:spacing w:line="360" w:lineRule="auto"/>
        <w:ind w:firstLine="480" w:firstLineChars="200"/>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lang w:val="en-US" w:eastAsia="zh-CN"/>
        </w:rPr>
        <w:t xml:space="preserve">由石膏基胶凝材料、高分子聚合物材料、细骨料等组成，用于将复合板粘结在基层墙体上的粘结材料。 </w:t>
      </w:r>
    </w:p>
    <w:p>
      <w:pPr>
        <w:keepNext w:val="0"/>
        <w:keepLines w:val="0"/>
        <w:pageBreakBefore w:val="0"/>
        <w:widowControl/>
        <w:kinsoku/>
        <w:wordWrap/>
        <w:overflowPunct/>
        <w:topLinePunct w:val="0"/>
        <w:autoSpaceDE/>
        <w:autoSpaceDN/>
        <w:bidi w:val="0"/>
        <w:adjustRightInd/>
        <w:snapToGrid/>
        <w:spacing w:line="360" w:lineRule="auto"/>
        <w:textAlignment w:val="auto"/>
        <w:outlineLvl w:val="2"/>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lang w:val="en-US" w:eastAsia="zh-CN"/>
        </w:rPr>
        <w:t xml:space="preserve">2.0.4 水泥基粘结胶浆 cement-based adhesive </w:t>
      </w:r>
    </w:p>
    <w:p>
      <w:pPr>
        <w:widowControl/>
        <w:spacing w:line="360" w:lineRule="auto"/>
        <w:ind w:firstLine="480" w:firstLineChars="200"/>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lang w:val="en-US" w:eastAsia="zh-CN"/>
        </w:rPr>
        <w:t xml:space="preserve">由水泥基胶凝材料、高分子聚合物材料、填料及添加剂等辅助材料组成，用于将复合板粘结在基层墙体上的粘结材料。 </w:t>
      </w:r>
    </w:p>
    <w:p>
      <w:pPr>
        <w:keepNext w:val="0"/>
        <w:keepLines w:val="0"/>
        <w:pageBreakBefore w:val="0"/>
        <w:widowControl/>
        <w:kinsoku/>
        <w:wordWrap/>
        <w:overflowPunct/>
        <w:topLinePunct w:val="0"/>
        <w:autoSpaceDE/>
        <w:autoSpaceDN/>
        <w:bidi w:val="0"/>
        <w:adjustRightInd/>
        <w:snapToGrid/>
        <w:spacing w:line="360" w:lineRule="auto"/>
        <w:textAlignment w:val="auto"/>
        <w:outlineLvl w:val="2"/>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lang w:val="en-US" w:eastAsia="zh-CN"/>
        </w:rPr>
        <w:t xml:space="preserve">2.0.5 嵌缝石膏 joint gypsurt </w:t>
      </w:r>
    </w:p>
    <w:p>
      <w:pPr>
        <w:widowControl/>
        <w:spacing w:line="360" w:lineRule="auto"/>
        <w:ind w:firstLine="480" w:firstLineChars="200"/>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lang w:val="en-US" w:eastAsia="zh-CN"/>
        </w:rPr>
        <w:t xml:space="preserve">以建筑石膏作为主要原料，掺人外加剂，混合均匀后，用于石膏板材之间填嵌缝隙或找平用的嵌缝材料。 </w:t>
      </w:r>
    </w:p>
    <w:p>
      <w:pPr>
        <w:keepNext w:val="0"/>
        <w:keepLines w:val="0"/>
        <w:pageBreakBefore w:val="0"/>
        <w:widowControl/>
        <w:kinsoku/>
        <w:wordWrap/>
        <w:overflowPunct/>
        <w:topLinePunct w:val="0"/>
        <w:autoSpaceDE/>
        <w:autoSpaceDN/>
        <w:bidi w:val="0"/>
        <w:adjustRightInd/>
        <w:snapToGrid/>
        <w:spacing w:line="360" w:lineRule="auto"/>
        <w:textAlignment w:val="auto"/>
        <w:outlineLvl w:val="2"/>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lang w:val="en-US" w:eastAsia="zh-CN"/>
        </w:rPr>
        <w:t xml:space="preserve">2.0.6 接缝纸带 paper joint tape </w:t>
      </w:r>
    </w:p>
    <w:p>
      <w:pPr>
        <w:widowControl/>
        <w:spacing w:line="360" w:lineRule="auto"/>
        <w:ind w:firstLine="480" w:firstLineChars="200"/>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lang w:val="en-US" w:eastAsia="zh-CN"/>
        </w:rPr>
        <w:t xml:space="preserve">以木浆纸张为基材，经中心压线、穿孔、两面拉毛而成，额盖石膏板材之间缝隙，起到增强两块石膏板连接强度和防止开裂作用的薄型纸质增强带状材料。 </w:t>
      </w:r>
    </w:p>
    <w:p>
      <w:pPr>
        <w:keepNext w:val="0"/>
        <w:keepLines w:val="0"/>
        <w:pageBreakBefore w:val="0"/>
        <w:widowControl/>
        <w:kinsoku/>
        <w:wordWrap/>
        <w:overflowPunct/>
        <w:topLinePunct w:val="0"/>
        <w:autoSpaceDE/>
        <w:autoSpaceDN/>
        <w:bidi w:val="0"/>
        <w:adjustRightInd/>
        <w:snapToGrid/>
        <w:spacing w:line="360" w:lineRule="auto"/>
        <w:textAlignment w:val="auto"/>
        <w:outlineLvl w:val="2"/>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lang w:val="en-US" w:eastAsia="zh-CN"/>
        </w:rPr>
        <w:t xml:space="preserve">2.0.7 金属护角纸带 flexcible metal corner tape </w:t>
      </w:r>
    </w:p>
    <w:p>
      <w:pPr>
        <w:widowControl/>
        <w:spacing w:line="360" w:lineRule="auto"/>
        <w:ind w:firstLine="480" w:firstLineChars="200"/>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lang w:val="en-US" w:eastAsia="zh-CN"/>
        </w:rPr>
        <w:t xml:space="preserve">以木浆纸张为基材，经中心压线、穿孔、两面拉毛处理，上粘两条平行的薄型铝合金窄带，覆盖粘贴在转角板缝表面，起到阳角护角、增强两块石膏板连接强度和防止开裂作用的薄型纸铝复合增强带状材料。 </w:t>
      </w:r>
    </w:p>
    <w:p>
      <w:pPr>
        <w:keepNext w:val="0"/>
        <w:keepLines w:val="0"/>
        <w:pageBreakBefore w:val="0"/>
        <w:widowControl/>
        <w:kinsoku/>
        <w:wordWrap/>
        <w:overflowPunct/>
        <w:topLinePunct w:val="0"/>
        <w:autoSpaceDE/>
        <w:autoSpaceDN/>
        <w:bidi w:val="0"/>
        <w:adjustRightInd/>
        <w:snapToGrid/>
        <w:spacing w:line="360" w:lineRule="auto"/>
        <w:textAlignment w:val="auto"/>
        <w:outlineLvl w:val="2"/>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lang w:val="en-US" w:eastAsia="zh-CN"/>
        </w:rPr>
        <w:t xml:space="preserve">2.0.8 锚栓 anchor </w:t>
      </w:r>
    </w:p>
    <w:p>
      <w:pPr>
        <w:widowControl/>
        <w:spacing w:line="360" w:lineRule="auto"/>
        <w:ind w:firstLine="480" w:firstLineChars="200"/>
        <w:rPr>
          <w:rFonts w:hint="eastAsia" w:ascii="Times New Roman" w:hAnsi="Times New Roman"/>
          <w:color w:val="auto"/>
          <w:sz w:val="24"/>
          <w:szCs w:val="24"/>
          <w:highlight w:val="none"/>
        </w:rPr>
      </w:pPr>
      <w:r>
        <w:rPr>
          <w:rFonts w:hint="default" w:ascii="Times New Roman" w:hAnsi="Times New Roman" w:cs="Times New Roman" w:eastAsiaTheme="minorEastAsia"/>
          <w:color w:val="auto"/>
          <w:sz w:val="24"/>
          <w:szCs w:val="24"/>
          <w:highlight w:val="none"/>
          <w:lang w:val="en-US" w:eastAsia="zh-CN"/>
        </w:rPr>
        <w:t>由不锈钢膨胀件、不锈钢圆盘和塑料膨胀套管组成，依靠膨胀产生的魔擦力或机械锁定作用连接保温系统与基层墙体的机械固定件。</w:t>
      </w:r>
      <w:r>
        <w:rPr>
          <w:rFonts w:hint="eastAsia" w:ascii="Times New Roman" w:hAnsi="Times New Roman"/>
          <w:color w:val="auto"/>
          <w:sz w:val="24"/>
          <w:szCs w:val="24"/>
          <w:highlight w:val="none"/>
          <w:lang w:val="en-US" w:eastAsia="zh-CN"/>
        </w:rPr>
        <w:t xml:space="preserve"> </w:t>
      </w:r>
    </w:p>
    <w:p>
      <w:pPr>
        <w:widowControl/>
        <w:spacing w:line="360" w:lineRule="auto"/>
        <w:rPr>
          <w:rFonts w:hint="eastAsia" w:ascii="Times New Roman" w:hAnsi="Times New Roman"/>
          <w:color w:val="auto"/>
          <w:sz w:val="24"/>
          <w:szCs w:val="24"/>
          <w:highlight w:val="none"/>
        </w:rPr>
      </w:pPr>
    </w:p>
    <w:p>
      <w:pPr>
        <w:rPr>
          <w:rFonts w:ascii="Times New Roman" w:hAnsi="Times New Roman"/>
          <w:color w:val="auto"/>
          <w:sz w:val="28"/>
          <w:szCs w:val="28"/>
          <w:highlight w:val="none"/>
        </w:rPr>
      </w:pPr>
      <w:bookmarkStart w:id="71" w:name="_Toc6395472"/>
      <w:bookmarkStart w:id="72" w:name="_Toc20736"/>
      <w:bookmarkStart w:id="73" w:name="_Toc314828582"/>
      <w:bookmarkStart w:id="74" w:name="_Toc329789371"/>
      <w:bookmarkStart w:id="75" w:name="_Toc427234977"/>
      <w:bookmarkStart w:id="76" w:name="_Toc315775021"/>
      <w:bookmarkStart w:id="77" w:name="_Toc524349277"/>
      <w:r>
        <w:rPr>
          <w:rFonts w:ascii="Times New Roman" w:hAnsi="Times New Roman"/>
          <w:color w:val="auto"/>
          <w:sz w:val="28"/>
          <w:szCs w:val="28"/>
          <w:highlight w:val="none"/>
        </w:rPr>
        <w:br w:type="page"/>
      </w:r>
    </w:p>
    <w:p>
      <w:pPr>
        <w:pStyle w:val="4"/>
        <w:bidi w:val="0"/>
        <w:rPr>
          <w:color w:val="auto"/>
          <w:highlight w:val="none"/>
        </w:rPr>
      </w:pPr>
      <w:bookmarkStart w:id="78" w:name="_Toc4264"/>
      <w:bookmarkStart w:id="79" w:name="_Toc5295"/>
      <w:bookmarkStart w:id="80" w:name="_Toc11782"/>
      <w:bookmarkStart w:id="81" w:name="_Toc18250"/>
      <w:bookmarkStart w:id="82" w:name="_Toc24787"/>
      <w:r>
        <w:rPr>
          <w:color w:val="auto"/>
          <w:highlight w:val="none"/>
        </w:rPr>
        <w:t xml:space="preserve">3  </w:t>
      </w:r>
      <w:r>
        <w:rPr>
          <w:rFonts w:hint="eastAsia"/>
          <w:color w:val="auto"/>
          <w:highlight w:val="none"/>
        </w:rPr>
        <w:t>基本规定</w:t>
      </w:r>
      <w:bookmarkEnd w:id="71"/>
      <w:bookmarkEnd w:id="72"/>
      <w:bookmarkEnd w:id="73"/>
      <w:bookmarkEnd w:id="74"/>
      <w:bookmarkEnd w:id="75"/>
      <w:bookmarkEnd w:id="76"/>
      <w:bookmarkEnd w:id="77"/>
      <w:bookmarkEnd w:id="78"/>
      <w:bookmarkEnd w:id="79"/>
      <w:bookmarkEnd w:id="80"/>
      <w:bookmarkEnd w:id="81"/>
      <w:bookmarkEnd w:id="82"/>
    </w:p>
    <w:p>
      <w:pPr>
        <w:pStyle w:val="18"/>
        <w:jc w:val="left"/>
        <w:outlineLvl w:val="2"/>
        <w:rPr>
          <w:b w:val="0"/>
          <w:color w:val="auto"/>
          <w:sz w:val="24"/>
          <w:szCs w:val="24"/>
          <w:highlight w:val="none"/>
        </w:rPr>
      </w:pPr>
      <w:bookmarkStart w:id="83" w:name="_Toc7680"/>
      <w:bookmarkStart w:id="84" w:name="_Toc21593"/>
      <w:bookmarkStart w:id="85" w:name="_Toc16127"/>
      <w:bookmarkStart w:id="86" w:name="_Toc6177"/>
      <w:bookmarkStart w:id="87" w:name="_Toc22123"/>
      <w:bookmarkStart w:id="88" w:name="_Toc21865"/>
      <w:bookmarkStart w:id="89" w:name="_Toc3254"/>
      <w:bookmarkStart w:id="90" w:name="_Toc2080"/>
      <w:bookmarkStart w:id="91" w:name="_Toc8588"/>
      <w:bookmarkStart w:id="92" w:name="_Toc9765"/>
      <w:bookmarkStart w:id="93" w:name="_Toc13087"/>
      <w:r>
        <w:rPr>
          <w:b w:val="0"/>
          <w:color w:val="auto"/>
          <w:sz w:val="24"/>
          <w:szCs w:val="24"/>
          <w:highlight w:val="none"/>
        </w:rPr>
        <w:t xml:space="preserve">3.0.1 </w:t>
      </w:r>
      <w:r>
        <w:rPr>
          <w:rFonts w:hint="eastAsia"/>
          <w:b w:val="0"/>
          <w:color w:val="auto"/>
          <w:sz w:val="24"/>
          <w:szCs w:val="24"/>
          <w:highlight w:val="none"/>
          <w:lang w:val="en-US" w:eastAsia="zh-CN"/>
        </w:rPr>
        <w:t>采用</w:t>
      </w:r>
      <w:r>
        <w:rPr>
          <w:rFonts w:hint="eastAsia"/>
          <w:b w:val="0"/>
          <w:color w:val="auto"/>
          <w:sz w:val="24"/>
          <w:szCs w:val="24"/>
          <w:highlight w:val="none"/>
        </w:rPr>
        <w:t>外墙内保温复合板系统</w:t>
      </w:r>
      <w:r>
        <w:rPr>
          <w:rFonts w:hint="eastAsia"/>
          <w:b w:val="0"/>
          <w:color w:val="auto"/>
          <w:sz w:val="24"/>
          <w:szCs w:val="24"/>
          <w:highlight w:val="none"/>
          <w:lang w:val="en-US" w:eastAsia="zh-CN"/>
        </w:rPr>
        <w:t>的</w:t>
      </w:r>
      <w:r>
        <w:rPr>
          <w:rFonts w:hint="eastAsia"/>
          <w:b w:val="0"/>
          <w:color w:val="auto"/>
          <w:sz w:val="24"/>
          <w:szCs w:val="24"/>
          <w:highlight w:val="none"/>
        </w:rPr>
        <w:t>建筑</w:t>
      </w:r>
      <w:r>
        <w:rPr>
          <w:rFonts w:hint="eastAsia"/>
          <w:b w:val="0"/>
          <w:color w:val="auto"/>
          <w:sz w:val="24"/>
          <w:szCs w:val="24"/>
          <w:highlight w:val="none"/>
          <w:lang w:val="en-US" w:eastAsia="zh-CN"/>
        </w:rPr>
        <w:t>应进行</w:t>
      </w:r>
      <w:r>
        <w:rPr>
          <w:rFonts w:hint="eastAsia"/>
          <w:b w:val="0"/>
          <w:color w:val="auto"/>
          <w:sz w:val="24"/>
          <w:szCs w:val="24"/>
          <w:highlight w:val="none"/>
        </w:rPr>
        <w:t>全装修，全装修工程应符合国家与重庆市现行有关标准的规定。</w:t>
      </w:r>
      <w:bookmarkEnd w:id="83"/>
      <w:bookmarkEnd w:id="84"/>
      <w:bookmarkEnd w:id="85"/>
      <w:bookmarkEnd w:id="86"/>
      <w:bookmarkEnd w:id="87"/>
      <w:bookmarkEnd w:id="88"/>
      <w:bookmarkEnd w:id="89"/>
      <w:bookmarkEnd w:id="90"/>
      <w:bookmarkEnd w:id="91"/>
      <w:bookmarkEnd w:id="92"/>
      <w:bookmarkEnd w:id="93"/>
    </w:p>
    <w:p>
      <w:pPr>
        <w:widowControl/>
        <w:spacing w:line="360" w:lineRule="auto"/>
        <w:rPr>
          <w:rFonts w:ascii="楷体" w:hAnsi="楷体" w:eastAsia="楷体"/>
          <w:color w:val="auto"/>
          <w:sz w:val="24"/>
          <w:szCs w:val="24"/>
          <w:highlight w:val="none"/>
        </w:rPr>
      </w:pPr>
      <w:r>
        <w:rPr>
          <w:rFonts w:hint="eastAsia" w:ascii="楷体" w:hAnsi="楷体" w:eastAsia="楷体"/>
          <w:color w:val="auto"/>
          <w:sz w:val="24"/>
          <w:szCs w:val="24"/>
          <w:highlight w:val="none"/>
        </w:rPr>
        <w:t>【条文说明】</w:t>
      </w:r>
      <w:r>
        <w:rPr>
          <w:rFonts w:hint="eastAsia" w:ascii="楷体" w:hAnsi="楷体" w:eastAsia="楷体"/>
          <w:color w:val="auto"/>
          <w:sz w:val="24"/>
          <w:szCs w:val="24"/>
          <w:highlight w:val="none"/>
          <w:lang w:val="en-US" w:eastAsia="zh-CN"/>
        </w:rPr>
        <w:t>3.0.1</w:t>
      </w:r>
      <w:r>
        <w:rPr>
          <w:rFonts w:hint="eastAsia" w:ascii="楷体" w:hAnsi="楷体" w:eastAsia="楷体"/>
          <w:color w:val="auto"/>
          <w:sz w:val="24"/>
          <w:szCs w:val="24"/>
          <w:highlight w:val="none"/>
        </w:rPr>
        <w:t>本条规定外墙内保温系统仅适用于全装修建筑工程，非全装修工程原则上不得采用外墙复合板内保温系统。主要原因在于：一是采用外墙内保温复合板的全装修建筑能较好地避免二次装修对保温层的破坏和有意拆除，减少建筑垃圾，同时避免二次装修拆除对建筑保温效果的破坏；</w:t>
      </w:r>
      <w:bookmarkStart w:id="94" w:name="_Hlk90236417"/>
      <w:r>
        <w:rPr>
          <w:rFonts w:hint="eastAsia" w:ascii="楷体" w:hAnsi="楷体" w:eastAsia="楷体"/>
          <w:color w:val="auto"/>
          <w:sz w:val="24"/>
          <w:szCs w:val="24"/>
          <w:highlight w:val="none"/>
        </w:rPr>
        <w:t>二是全装修建筑工程</w:t>
      </w:r>
      <w:bookmarkEnd w:id="94"/>
      <w:r>
        <w:rPr>
          <w:rFonts w:hint="eastAsia" w:ascii="楷体" w:hAnsi="楷体" w:eastAsia="楷体"/>
          <w:color w:val="auto"/>
          <w:sz w:val="24"/>
          <w:szCs w:val="24"/>
          <w:highlight w:val="none"/>
        </w:rPr>
        <w:t>已在星级绿色建筑、绿色生态住宅小区以及装配式建筑强制要求；三是全装修建筑工程在推动资源节约和环境保护，减少建筑碳排放等有方面着重要作用，有利于建筑领域“双碳”目标实现。</w:t>
      </w:r>
    </w:p>
    <w:p>
      <w:pPr>
        <w:widowControl/>
        <w:spacing w:line="360" w:lineRule="auto"/>
        <w:ind w:firstLine="480" w:firstLineChars="200"/>
        <w:rPr>
          <w:rFonts w:ascii="Times New Roman" w:hAnsi="Times New Roman"/>
          <w:color w:val="auto"/>
          <w:sz w:val="24"/>
          <w:szCs w:val="24"/>
          <w:highlight w:val="none"/>
        </w:rPr>
      </w:pPr>
      <w:r>
        <w:rPr>
          <w:rFonts w:hint="eastAsia" w:ascii="楷体" w:hAnsi="楷体" w:eastAsia="楷体"/>
          <w:color w:val="auto"/>
          <w:sz w:val="24"/>
          <w:szCs w:val="24"/>
          <w:highlight w:val="none"/>
        </w:rPr>
        <w:t>全装修是要求在交付前，住宅建筑内部墙面、顶面、地面全部铺贴、粉刷完成，门窗、固定家具、设备管线、开关插座及厨房、卫生间固定设施安装到位；公共建筑公共区域的固定面全部铺贴、粉刷完成，水、暖、电、通风等基本设备全部安装到位，其材料其选用材料、部品及设备应满足国家和重庆市现行相关标准规定。内保温复合板系统工程设计、施工应与装修设计、施工统一、协调。</w:t>
      </w:r>
    </w:p>
    <w:p>
      <w:pPr>
        <w:pStyle w:val="18"/>
        <w:jc w:val="left"/>
        <w:outlineLvl w:val="2"/>
        <w:rPr>
          <w:b w:val="0"/>
          <w:color w:val="auto"/>
          <w:sz w:val="24"/>
          <w:szCs w:val="24"/>
          <w:highlight w:val="none"/>
        </w:rPr>
      </w:pPr>
      <w:bookmarkStart w:id="95" w:name="_Toc4796"/>
      <w:bookmarkStart w:id="96" w:name="_Toc23215"/>
      <w:bookmarkStart w:id="97" w:name="_Toc31608"/>
      <w:bookmarkStart w:id="98" w:name="_Toc24401"/>
      <w:bookmarkStart w:id="99" w:name="_Toc8027"/>
      <w:bookmarkStart w:id="100" w:name="_Toc4701"/>
      <w:bookmarkStart w:id="101" w:name="_Toc23198"/>
      <w:bookmarkStart w:id="102" w:name="_Toc25443"/>
      <w:bookmarkStart w:id="103" w:name="_Toc30214"/>
      <w:r>
        <w:rPr>
          <w:rFonts w:hint="eastAsia"/>
          <w:b w:val="0"/>
          <w:color w:val="auto"/>
          <w:sz w:val="24"/>
          <w:szCs w:val="24"/>
          <w:highlight w:val="none"/>
        </w:rPr>
        <w:t>3.0.2 精装房的内保温工程的设计与施工，应与建筑装修设计和施工协调统一。</w:t>
      </w:r>
      <w:bookmarkEnd w:id="95"/>
      <w:bookmarkEnd w:id="96"/>
      <w:bookmarkEnd w:id="97"/>
      <w:bookmarkEnd w:id="98"/>
      <w:bookmarkEnd w:id="99"/>
      <w:bookmarkEnd w:id="100"/>
      <w:bookmarkEnd w:id="101"/>
      <w:bookmarkEnd w:id="102"/>
      <w:bookmarkEnd w:id="103"/>
    </w:p>
    <w:p>
      <w:pPr>
        <w:spacing w:line="360" w:lineRule="auto"/>
        <w:jc w:val="left"/>
        <w:rPr>
          <w:rFonts w:ascii="楷体" w:hAnsi="楷体" w:eastAsia="楷体" w:cs="宋体"/>
          <w:color w:val="auto"/>
          <w:spacing w:val="-8"/>
          <w:kern w:val="0"/>
          <w:sz w:val="24"/>
          <w:szCs w:val="24"/>
          <w:highlight w:val="none"/>
        </w:rPr>
      </w:pPr>
      <w:r>
        <w:rPr>
          <w:rFonts w:hint="eastAsia" w:ascii="楷体" w:hAnsi="楷体" w:eastAsia="楷体"/>
          <w:color w:val="auto"/>
          <w:sz w:val="24"/>
          <w:szCs w:val="24"/>
          <w:highlight w:val="none"/>
        </w:rPr>
        <w:t>【条文说明】</w:t>
      </w:r>
      <w:r>
        <w:rPr>
          <w:rFonts w:hint="eastAsia" w:ascii="楷体" w:hAnsi="楷体" w:eastAsia="楷体"/>
          <w:color w:val="auto"/>
          <w:sz w:val="24"/>
          <w:szCs w:val="24"/>
          <w:highlight w:val="none"/>
          <w:lang w:val="en-US" w:eastAsia="zh-CN"/>
        </w:rPr>
        <w:t>3.0.2</w:t>
      </w:r>
      <w:r>
        <w:rPr>
          <w:rFonts w:hint="eastAsia" w:ascii="楷体" w:hAnsi="楷体" w:eastAsia="楷体"/>
          <w:color w:val="auto"/>
          <w:sz w:val="24"/>
          <w:szCs w:val="24"/>
          <w:highlight w:val="none"/>
        </w:rPr>
        <w:t>精</w:t>
      </w:r>
      <w:r>
        <w:rPr>
          <w:rFonts w:hint="eastAsia" w:ascii="楷体" w:hAnsi="楷体" w:eastAsia="楷体" w:cs="宋体"/>
          <w:color w:val="auto"/>
          <w:spacing w:val="-8"/>
          <w:kern w:val="0"/>
          <w:sz w:val="24"/>
          <w:szCs w:val="24"/>
          <w:highlight w:val="none"/>
        </w:rPr>
        <w:t>装房交付时已完成室内固定面铺装或涂饰，以及其它设备管线和基本设施安装。为保证整体设计效果、降低工程造价、减少施工配合时间，避免返工或者设备安装时对内保温工程的破坏，确保工程质量安全，内保温工程应与装修工程的设计、施工进行整体性的考虑，包括墙面铺装或涂饰材料的选择，管线敷设、开关插座布置和安装，窗台板、窗套、窗帘杆安装，吊柜、橱柜、室内设备、管道的锚固，卫生间洁具安装等等。</w:t>
      </w:r>
    </w:p>
    <w:p>
      <w:pPr>
        <w:pStyle w:val="18"/>
        <w:jc w:val="left"/>
        <w:outlineLvl w:val="2"/>
        <w:rPr>
          <w:b w:val="0"/>
          <w:color w:val="auto"/>
          <w:sz w:val="24"/>
          <w:szCs w:val="24"/>
          <w:highlight w:val="none"/>
        </w:rPr>
      </w:pPr>
      <w:bookmarkStart w:id="104" w:name="_Toc20411"/>
      <w:bookmarkStart w:id="105" w:name="_Toc28961"/>
      <w:bookmarkStart w:id="106" w:name="_Toc18618"/>
      <w:bookmarkStart w:id="107" w:name="_Toc10305"/>
      <w:bookmarkStart w:id="108" w:name="_Toc7965"/>
      <w:bookmarkStart w:id="109" w:name="_Toc31029"/>
      <w:bookmarkStart w:id="110" w:name="_Toc5075"/>
      <w:bookmarkStart w:id="111" w:name="_Toc12778"/>
      <w:bookmarkStart w:id="112" w:name="_Toc10856"/>
      <w:bookmarkStart w:id="113" w:name="_Toc15691"/>
      <w:bookmarkStart w:id="114" w:name="_Toc22794"/>
      <w:r>
        <w:rPr>
          <w:rFonts w:hint="eastAsia"/>
          <w:b w:val="0"/>
          <w:color w:val="auto"/>
          <w:sz w:val="24"/>
          <w:szCs w:val="24"/>
          <w:highlight w:val="none"/>
        </w:rPr>
        <w:t>3.0.3 内保温复合板系统可单独应用于建筑外墙，也可以与外墙外保温系统、外墙自保温系统结合使用，并应符合下列规定：</w:t>
      </w:r>
      <w:bookmarkEnd w:id="104"/>
      <w:bookmarkEnd w:id="105"/>
      <w:bookmarkEnd w:id="106"/>
      <w:bookmarkEnd w:id="107"/>
      <w:bookmarkEnd w:id="108"/>
      <w:bookmarkEnd w:id="109"/>
      <w:bookmarkEnd w:id="110"/>
      <w:bookmarkEnd w:id="111"/>
      <w:bookmarkEnd w:id="112"/>
      <w:bookmarkEnd w:id="113"/>
      <w:bookmarkEnd w:id="114"/>
    </w:p>
    <w:p>
      <w:pPr>
        <w:widowControl/>
        <w:spacing w:line="360" w:lineRule="auto"/>
        <w:ind w:firstLine="420"/>
        <w:rPr>
          <w:rFonts w:ascii="Times New Roman" w:hAnsi="Times New Roman"/>
          <w:color w:val="auto"/>
          <w:sz w:val="24"/>
          <w:szCs w:val="24"/>
          <w:highlight w:val="none"/>
        </w:rPr>
      </w:pPr>
      <w:r>
        <w:rPr>
          <w:rFonts w:ascii="Times New Roman" w:hAnsi="Times New Roman"/>
          <w:color w:val="auto"/>
          <w:sz w:val="24"/>
          <w:szCs w:val="24"/>
          <w:highlight w:val="none"/>
        </w:rPr>
        <w:t>1</w:t>
      </w:r>
      <w:r>
        <w:rPr>
          <w:rFonts w:hint="eastAsia" w:ascii="Times New Roman" w:hAnsi="Times New Roman"/>
          <w:color w:val="auto"/>
          <w:sz w:val="24"/>
          <w:szCs w:val="24"/>
          <w:highlight w:val="none"/>
        </w:rPr>
        <w:t>外墙外保温工程、外墙自保温工程应符合现行相关标准及重庆市有关管理规定，内保温工程应执行本标准和其他相关的外墙内保温标准规定。</w:t>
      </w:r>
    </w:p>
    <w:p>
      <w:pPr>
        <w:widowControl/>
        <w:spacing w:line="360" w:lineRule="auto"/>
        <w:ind w:firstLine="420"/>
        <w:rPr>
          <w:rFonts w:ascii="Times New Roman" w:hAnsi="Times New Roman"/>
          <w:color w:val="auto"/>
          <w:sz w:val="24"/>
          <w:szCs w:val="24"/>
          <w:highlight w:val="none"/>
        </w:rPr>
      </w:pPr>
      <w:r>
        <w:rPr>
          <w:rFonts w:hint="eastAsia" w:ascii="Times New Roman" w:hAnsi="Times New Roman"/>
          <w:color w:val="auto"/>
          <w:sz w:val="24"/>
          <w:szCs w:val="24"/>
          <w:highlight w:val="none"/>
        </w:rPr>
        <w:t>2建筑非临空部位的局部外墙采用外保温系统，且构造安全与防火安全满足相关标准规定时，可整体认定为符合内保温工程应用的技术要求。</w:t>
      </w:r>
    </w:p>
    <w:p>
      <w:pPr>
        <w:keepNext w:val="0"/>
        <w:keepLines w:val="0"/>
        <w:pageBreakBefore w:val="0"/>
        <w:widowControl/>
        <w:kinsoku/>
        <w:wordWrap/>
        <w:overflowPunct/>
        <w:topLinePunct w:val="0"/>
        <w:autoSpaceDE/>
        <w:autoSpaceDN/>
        <w:bidi w:val="0"/>
        <w:adjustRightInd/>
        <w:snapToGrid/>
        <w:spacing w:line="360" w:lineRule="auto"/>
        <w:ind w:firstLine="420"/>
        <w:textAlignment w:val="auto"/>
        <w:outlineLvl w:val="9"/>
        <w:rPr>
          <w:rFonts w:ascii="Times New Roman" w:hAnsi="Times New Roman"/>
          <w:color w:val="auto"/>
          <w:sz w:val="24"/>
          <w:szCs w:val="24"/>
          <w:highlight w:val="none"/>
        </w:rPr>
      </w:pPr>
      <w:r>
        <w:rPr>
          <w:rFonts w:hint="eastAsia" w:ascii="Times New Roman" w:hAnsi="Times New Roman"/>
          <w:color w:val="auto"/>
          <w:sz w:val="24"/>
          <w:szCs w:val="24"/>
          <w:highlight w:val="none"/>
        </w:rPr>
        <w:t>3采用外墙内外结合保温时，其节能计算应分别符合相关标准规定。</w:t>
      </w:r>
    </w:p>
    <w:p>
      <w:pPr>
        <w:spacing w:line="360" w:lineRule="auto"/>
        <w:jc w:val="left"/>
        <w:rPr>
          <w:rFonts w:asciiTheme="minorEastAsia" w:hAnsiTheme="minorEastAsia"/>
          <w:b/>
          <w:color w:val="auto"/>
          <w:sz w:val="24"/>
          <w:szCs w:val="24"/>
          <w:highlight w:val="none"/>
        </w:rPr>
      </w:pPr>
    </w:p>
    <w:p>
      <w:pPr>
        <w:pStyle w:val="18"/>
        <w:jc w:val="left"/>
        <w:outlineLvl w:val="2"/>
        <w:rPr>
          <w:b w:val="0"/>
          <w:color w:val="auto"/>
          <w:sz w:val="24"/>
          <w:szCs w:val="24"/>
          <w:highlight w:val="none"/>
        </w:rPr>
      </w:pPr>
      <w:bookmarkStart w:id="115" w:name="_Toc13120"/>
      <w:bookmarkStart w:id="116" w:name="_Toc17230"/>
      <w:bookmarkStart w:id="117" w:name="_Toc3323"/>
      <w:bookmarkStart w:id="118" w:name="_Toc12769"/>
      <w:bookmarkStart w:id="119" w:name="_Toc18916"/>
      <w:bookmarkStart w:id="120" w:name="_Toc11975"/>
      <w:bookmarkStart w:id="121" w:name="_Toc705"/>
      <w:bookmarkStart w:id="122" w:name="_Toc23486"/>
      <w:bookmarkStart w:id="123" w:name="_Toc15073"/>
      <w:r>
        <w:rPr>
          <w:rFonts w:hint="eastAsia"/>
          <w:b w:val="0"/>
          <w:color w:val="auto"/>
          <w:sz w:val="24"/>
          <w:szCs w:val="24"/>
          <w:highlight w:val="none"/>
        </w:rPr>
        <w:t>3.0.4 建筑内保温系统工程采用的材料，应能适应基层墙体的正常变形而不产生裂缝、空鼓和脱落, 且能在正常使用下而不发生破坏。</w:t>
      </w:r>
      <w:bookmarkEnd w:id="115"/>
      <w:bookmarkEnd w:id="116"/>
      <w:bookmarkEnd w:id="117"/>
      <w:bookmarkEnd w:id="118"/>
      <w:bookmarkEnd w:id="119"/>
      <w:bookmarkEnd w:id="120"/>
      <w:bookmarkEnd w:id="121"/>
      <w:bookmarkEnd w:id="122"/>
      <w:bookmarkEnd w:id="123"/>
    </w:p>
    <w:p>
      <w:pPr>
        <w:spacing w:line="360" w:lineRule="auto"/>
        <w:jc w:val="left"/>
        <w:rPr>
          <w:rFonts w:asciiTheme="minorEastAsia" w:hAnsiTheme="minorEastAsia"/>
          <w:b/>
          <w:color w:val="auto"/>
          <w:sz w:val="24"/>
          <w:szCs w:val="24"/>
          <w:highlight w:val="none"/>
        </w:rPr>
      </w:pPr>
      <w:r>
        <w:rPr>
          <w:rFonts w:hint="eastAsia" w:ascii="楷体" w:hAnsi="楷体" w:eastAsia="楷体"/>
          <w:color w:val="auto"/>
          <w:sz w:val="24"/>
          <w:szCs w:val="24"/>
          <w:highlight w:val="none"/>
        </w:rPr>
        <w:t>【条文说明】</w:t>
      </w:r>
      <w:r>
        <w:rPr>
          <w:rFonts w:hint="eastAsia" w:ascii="楷体" w:hAnsi="楷体" w:eastAsia="楷体"/>
          <w:color w:val="auto"/>
          <w:sz w:val="24"/>
          <w:szCs w:val="24"/>
          <w:highlight w:val="none"/>
          <w:lang w:val="en-US" w:eastAsia="zh-CN"/>
        </w:rPr>
        <w:t>3.0.4</w:t>
      </w:r>
      <w:r>
        <w:rPr>
          <w:rFonts w:hint="eastAsia" w:ascii="楷体" w:hAnsi="楷体" w:eastAsia="楷体"/>
          <w:color w:val="auto"/>
          <w:sz w:val="24"/>
          <w:szCs w:val="24"/>
          <w:highlight w:val="none"/>
        </w:rPr>
        <w:t>建筑工程墙体的正常变形是指温度、含水率、风荷载、撞击力造成的变形，这种变形不应造成内保温复合墙体的裂缝，或形成空鼓脱落。系统的各构造层次间具有变形协调能力，可减少甚至避免保温系统产生裂缝,若基层墙体、保温层、保护层材料的弹性模量、线膨胀系数相差过大,由温度、湿度变化造成的变形率和变形速度不一致，易造成保温层裂缝。在正常使用情况下，不能用尖锐物体锤击或刻画保温层。</w:t>
      </w:r>
    </w:p>
    <w:p>
      <w:pPr>
        <w:pStyle w:val="18"/>
        <w:jc w:val="left"/>
        <w:outlineLvl w:val="2"/>
        <w:rPr>
          <w:b w:val="0"/>
          <w:color w:val="auto"/>
          <w:sz w:val="24"/>
          <w:szCs w:val="24"/>
          <w:highlight w:val="none"/>
        </w:rPr>
      </w:pPr>
      <w:bookmarkStart w:id="124" w:name="_Toc26487"/>
      <w:bookmarkStart w:id="125" w:name="_Toc18755"/>
      <w:bookmarkStart w:id="126" w:name="_Toc12913"/>
      <w:bookmarkStart w:id="127" w:name="_Toc1999"/>
      <w:bookmarkStart w:id="128" w:name="_Toc27437"/>
      <w:bookmarkStart w:id="129" w:name="_Toc2807"/>
      <w:bookmarkStart w:id="130" w:name="_Toc32720"/>
      <w:bookmarkStart w:id="131" w:name="_Toc25040"/>
      <w:bookmarkStart w:id="132" w:name="_Toc17955"/>
      <w:r>
        <w:rPr>
          <w:rFonts w:hint="eastAsia"/>
          <w:b w:val="0"/>
          <w:color w:val="auto"/>
          <w:sz w:val="24"/>
          <w:szCs w:val="24"/>
          <w:highlight w:val="none"/>
        </w:rPr>
        <w:t>3.0.5 建筑内保温工程各组成部分应具有物理一化学稳定性。所有组成材料应彼此相容，并应具有防腐性。在可能受到生物侵害时，内保温工程应具有防生物侵害性能;所有组成材料应符合国家现行标准《民用建筑工程室内环境污染控制规范》GB 50325和《建筑材料放射性核素限量》GB 6566的相关规定。</w:t>
      </w:r>
      <w:bookmarkEnd w:id="124"/>
      <w:bookmarkEnd w:id="125"/>
      <w:bookmarkEnd w:id="126"/>
      <w:bookmarkEnd w:id="127"/>
      <w:bookmarkEnd w:id="128"/>
      <w:bookmarkEnd w:id="129"/>
      <w:bookmarkEnd w:id="130"/>
      <w:bookmarkEnd w:id="131"/>
      <w:bookmarkEnd w:id="132"/>
    </w:p>
    <w:p>
      <w:pPr>
        <w:spacing w:line="360" w:lineRule="auto"/>
        <w:jc w:val="left"/>
        <w:rPr>
          <w:rFonts w:ascii="楷体" w:hAnsi="楷体" w:eastAsia="楷体"/>
          <w:color w:val="auto"/>
          <w:sz w:val="24"/>
          <w:szCs w:val="24"/>
          <w:highlight w:val="none"/>
        </w:rPr>
      </w:pPr>
      <w:r>
        <w:rPr>
          <w:rFonts w:hint="eastAsia" w:ascii="楷体" w:hAnsi="楷体" w:eastAsia="楷体"/>
          <w:color w:val="auto"/>
          <w:sz w:val="24"/>
          <w:szCs w:val="24"/>
          <w:highlight w:val="none"/>
        </w:rPr>
        <w:t>【条文说明】</w:t>
      </w:r>
      <w:r>
        <w:rPr>
          <w:rFonts w:hint="eastAsia" w:ascii="楷体" w:hAnsi="楷体" w:eastAsia="楷体"/>
          <w:color w:val="auto"/>
          <w:sz w:val="24"/>
          <w:szCs w:val="24"/>
          <w:highlight w:val="none"/>
          <w:lang w:val="en-US" w:eastAsia="zh-CN"/>
        </w:rPr>
        <w:t>3.0.5</w:t>
      </w:r>
      <w:r>
        <w:rPr>
          <w:rFonts w:hint="eastAsia" w:ascii="楷体" w:hAnsi="楷体" w:eastAsia="楷体"/>
          <w:color w:val="auto"/>
          <w:sz w:val="24"/>
          <w:szCs w:val="24"/>
          <w:highlight w:val="none"/>
        </w:rPr>
        <w:t>本条文包含两项内容:一是组成材料的耐久性，二是组成材料的环保性。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ascii="楷体" w:hAnsi="楷体" w:eastAsia="楷体"/>
          <w:color w:val="auto"/>
          <w:sz w:val="24"/>
          <w:szCs w:val="24"/>
          <w:highlight w:val="none"/>
        </w:rPr>
      </w:pPr>
      <w:r>
        <w:rPr>
          <w:rFonts w:hint="eastAsia" w:ascii="楷体" w:hAnsi="楷体" w:eastAsia="楷体"/>
          <w:color w:val="auto"/>
          <w:sz w:val="24"/>
          <w:szCs w:val="24"/>
          <w:highlight w:val="none"/>
        </w:rPr>
        <w:t>1组成材料的耐久性</w:t>
      </w:r>
    </w:p>
    <w:p>
      <w:pPr>
        <w:spacing w:line="360" w:lineRule="auto"/>
        <w:ind w:firstLine="480" w:firstLineChars="200"/>
        <w:jc w:val="left"/>
        <w:rPr>
          <w:rFonts w:ascii="楷体" w:hAnsi="楷体" w:eastAsia="楷体"/>
          <w:color w:val="auto"/>
          <w:sz w:val="24"/>
          <w:szCs w:val="24"/>
          <w:highlight w:val="none"/>
        </w:rPr>
      </w:pPr>
      <w:r>
        <w:rPr>
          <w:rFonts w:hint="eastAsia" w:ascii="楷体" w:hAnsi="楷体" w:eastAsia="楷体"/>
          <w:color w:val="auto"/>
          <w:sz w:val="24"/>
          <w:szCs w:val="24"/>
          <w:highlight w:val="none"/>
        </w:rPr>
        <w:t>在正常使用条件和正常维护下,所有组成材料在系统使用寿命期内均应保持其特性。这就要求符合以下几点:</w:t>
      </w:r>
    </w:p>
    <w:p>
      <w:pPr>
        <w:spacing w:line="360" w:lineRule="auto"/>
        <w:ind w:firstLine="480" w:firstLineChars="200"/>
        <w:jc w:val="left"/>
        <w:rPr>
          <w:rFonts w:ascii="楷体" w:hAnsi="楷体" w:eastAsia="楷体"/>
          <w:color w:val="auto"/>
          <w:sz w:val="24"/>
          <w:szCs w:val="24"/>
          <w:highlight w:val="none"/>
        </w:rPr>
      </w:pPr>
      <w:r>
        <w:rPr>
          <w:rFonts w:hint="eastAsia" w:ascii="楷体" w:hAnsi="楷体" w:eastAsia="楷体"/>
          <w:color w:val="auto"/>
          <w:sz w:val="24"/>
          <w:szCs w:val="24"/>
          <w:highlight w:val="none"/>
        </w:rPr>
        <w:t>1)所有组成材料都应表现出物理一化学稳定性。在相互接触的材料之间出现反应的情况下,这些反应应该是缓慢进行的。</w:t>
      </w:r>
    </w:p>
    <w:p>
      <w:pPr>
        <w:spacing w:line="360" w:lineRule="auto"/>
        <w:ind w:firstLine="480" w:firstLineChars="200"/>
        <w:jc w:val="left"/>
        <w:rPr>
          <w:rFonts w:ascii="楷体" w:hAnsi="楷体" w:eastAsia="楷体"/>
          <w:color w:val="auto"/>
          <w:sz w:val="24"/>
          <w:szCs w:val="24"/>
          <w:highlight w:val="none"/>
        </w:rPr>
      </w:pPr>
      <w:r>
        <w:rPr>
          <w:rFonts w:hint="eastAsia" w:ascii="楷体" w:hAnsi="楷体" w:eastAsia="楷体"/>
          <w:color w:val="auto"/>
          <w:sz w:val="24"/>
          <w:szCs w:val="24"/>
          <w:highlight w:val="none"/>
        </w:rPr>
        <w:t>2）所有材料应是耐腐蚀或经耐腐蚀处理。这涉及玻璃纤维网布耐碱性,金属固定件镀锌或涂防锈漆等防锈处理。</w:t>
      </w:r>
    </w:p>
    <w:p>
      <w:pPr>
        <w:spacing w:line="360" w:lineRule="auto"/>
        <w:ind w:firstLine="480" w:firstLineChars="200"/>
        <w:jc w:val="left"/>
        <w:rPr>
          <w:rFonts w:ascii="楷体" w:hAnsi="楷体" w:eastAsia="楷体"/>
          <w:color w:val="auto"/>
          <w:sz w:val="24"/>
          <w:szCs w:val="24"/>
          <w:highlight w:val="none"/>
        </w:rPr>
      </w:pPr>
      <w:r>
        <w:rPr>
          <w:rFonts w:hint="eastAsia" w:ascii="楷体" w:hAnsi="楷体" w:eastAsia="楷体"/>
          <w:color w:val="auto"/>
          <w:sz w:val="24"/>
          <w:szCs w:val="24"/>
          <w:highlight w:val="none"/>
        </w:rPr>
        <w:t>3)所有材料应是彼此相容的。</w:t>
      </w:r>
    </w:p>
    <w:p>
      <w:pPr>
        <w:spacing w:line="360" w:lineRule="auto"/>
        <w:ind w:firstLine="480" w:firstLineChars="200"/>
        <w:jc w:val="left"/>
        <w:rPr>
          <w:rFonts w:ascii="楷体" w:hAnsi="楷体" w:eastAsia="楷体"/>
          <w:color w:val="auto"/>
          <w:sz w:val="24"/>
          <w:szCs w:val="24"/>
          <w:highlight w:val="none"/>
        </w:rPr>
      </w:pPr>
      <w:r>
        <w:rPr>
          <w:rFonts w:hint="eastAsia" w:ascii="楷体" w:hAnsi="楷体" w:eastAsia="楷体"/>
          <w:color w:val="auto"/>
          <w:sz w:val="24"/>
          <w:szCs w:val="24"/>
          <w:highlight w:val="none"/>
        </w:rPr>
        <w:t>彼此相容是要求内保温系统中任何一种组成材料应与其他所有组成材料相容。这也就是说，胶粘剂、抹面材料、饰面材料、密封材料和附件等应与有机保温材料或无机保温材料相容，并且各种材料之间都应相容。鼠类、白蚁都会咬食EPS板等。在有白蚁等虫害的地区，应做好防虫害构造设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ascii="楷体" w:hAnsi="楷体" w:eastAsia="楷体"/>
          <w:color w:val="auto"/>
          <w:sz w:val="24"/>
          <w:szCs w:val="24"/>
          <w:highlight w:val="none"/>
        </w:rPr>
      </w:pPr>
      <w:r>
        <w:rPr>
          <w:rFonts w:hint="eastAsia" w:ascii="楷体" w:hAnsi="楷体" w:eastAsia="楷体"/>
          <w:color w:val="auto"/>
          <w:sz w:val="24"/>
          <w:szCs w:val="24"/>
          <w:highlight w:val="none"/>
        </w:rPr>
        <w:t>2组成材料的环保性能</w:t>
      </w:r>
    </w:p>
    <w:p>
      <w:pPr>
        <w:spacing w:line="360" w:lineRule="auto"/>
        <w:ind w:firstLine="480" w:firstLineChars="200"/>
        <w:jc w:val="left"/>
        <w:rPr>
          <w:rFonts w:asciiTheme="minorEastAsia" w:hAnsiTheme="minorEastAsia"/>
          <w:b/>
          <w:color w:val="auto"/>
          <w:sz w:val="24"/>
          <w:szCs w:val="24"/>
          <w:highlight w:val="none"/>
        </w:rPr>
      </w:pPr>
      <w:r>
        <w:rPr>
          <w:rFonts w:hint="eastAsia" w:ascii="楷体" w:hAnsi="楷体" w:eastAsia="楷体"/>
          <w:color w:val="auto"/>
          <w:sz w:val="24"/>
          <w:szCs w:val="24"/>
          <w:highlight w:val="none"/>
        </w:rPr>
        <w:t>为了预防和控制室内环境污染，保障人民身体健康，所有组成材料的有害物质，包括放射性物质、总挥发性有机化合物(TVOC)、甲醛、氨、苯、甲苯、二甲苯、重金属等，均应符合国家现行有关标准的规定。</w:t>
      </w:r>
    </w:p>
    <w:p>
      <w:pPr>
        <w:spacing w:line="360" w:lineRule="auto"/>
        <w:outlineLvl w:val="2"/>
        <w:rPr>
          <w:rFonts w:asciiTheme="majorEastAsia" w:hAnsiTheme="majorEastAsia" w:eastAsiaTheme="majorEastAsia"/>
          <w:color w:val="auto"/>
          <w:sz w:val="24"/>
          <w:szCs w:val="24"/>
          <w:highlight w:val="none"/>
        </w:rPr>
      </w:pPr>
      <w:r>
        <w:rPr>
          <w:rFonts w:hint="eastAsia" w:asciiTheme="majorEastAsia" w:hAnsiTheme="majorEastAsia" w:eastAsiaTheme="majorEastAsia"/>
          <w:color w:val="auto"/>
          <w:sz w:val="24"/>
          <w:szCs w:val="24"/>
          <w:highlight w:val="none"/>
        </w:rPr>
        <w:t>3.0.6</w:t>
      </w:r>
      <w:r>
        <w:rPr>
          <w:rFonts w:asciiTheme="majorEastAsia" w:hAnsiTheme="majorEastAsia" w:eastAsiaTheme="majorEastAsia"/>
          <w:color w:val="auto"/>
          <w:sz w:val="24"/>
          <w:szCs w:val="24"/>
          <w:highlight w:val="none"/>
        </w:rPr>
        <w:t xml:space="preserve"> </w:t>
      </w:r>
      <w:r>
        <w:rPr>
          <w:rFonts w:hint="eastAsia" w:asciiTheme="majorEastAsia" w:hAnsiTheme="majorEastAsia" w:eastAsiaTheme="majorEastAsia"/>
          <w:color w:val="auto"/>
          <w:sz w:val="24"/>
          <w:szCs w:val="24"/>
          <w:highlight w:val="none"/>
        </w:rPr>
        <w:t>建筑内保温工程防火性能除应符合国家现行标准《建筑防火通用规范》G</w:t>
      </w:r>
      <w:r>
        <w:rPr>
          <w:rFonts w:asciiTheme="majorEastAsia" w:hAnsiTheme="majorEastAsia" w:eastAsiaTheme="majorEastAsia"/>
          <w:color w:val="auto"/>
          <w:sz w:val="24"/>
          <w:szCs w:val="24"/>
          <w:highlight w:val="none"/>
        </w:rPr>
        <w:t>B</w:t>
      </w:r>
      <w:r>
        <w:rPr>
          <w:rFonts w:hint="eastAsia" w:asciiTheme="majorEastAsia" w:hAnsiTheme="majorEastAsia" w:eastAsiaTheme="majorEastAsia"/>
          <w:color w:val="auto"/>
          <w:sz w:val="24"/>
          <w:szCs w:val="24"/>
          <w:highlight w:val="none"/>
          <w:lang w:val="en-US" w:eastAsia="zh-CN"/>
        </w:rPr>
        <w:t xml:space="preserve"> </w:t>
      </w:r>
      <w:r>
        <w:rPr>
          <w:rFonts w:asciiTheme="majorEastAsia" w:hAnsiTheme="majorEastAsia" w:eastAsiaTheme="majorEastAsia"/>
          <w:color w:val="auto"/>
          <w:sz w:val="24"/>
          <w:szCs w:val="24"/>
          <w:highlight w:val="none"/>
        </w:rPr>
        <w:t>55037</w:t>
      </w:r>
      <w:r>
        <w:rPr>
          <w:rFonts w:hint="eastAsia" w:asciiTheme="majorEastAsia" w:hAnsiTheme="majorEastAsia" w:eastAsiaTheme="majorEastAsia"/>
          <w:color w:val="auto"/>
          <w:sz w:val="24"/>
          <w:szCs w:val="24"/>
          <w:highlight w:val="none"/>
        </w:rPr>
        <w:t>、《建筑设计防火规范》G</w:t>
      </w:r>
      <w:r>
        <w:rPr>
          <w:rFonts w:asciiTheme="majorEastAsia" w:hAnsiTheme="majorEastAsia" w:eastAsiaTheme="majorEastAsia"/>
          <w:color w:val="auto"/>
          <w:sz w:val="24"/>
          <w:szCs w:val="24"/>
          <w:highlight w:val="none"/>
        </w:rPr>
        <w:t>B</w:t>
      </w:r>
      <w:r>
        <w:rPr>
          <w:rFonts w:hint="eastAsia" w:asciiTheme="majorEastAsia" w:hAnsiTheme="majorEastAsia" w:eastAsiaTheme="majorEastAsia"/>
          <w:color w:val="auto"/>
          <w:sz w:val="24"/>
          <w:szCs w:val="24"/>
          <w:highlight w:val="none"/>
          <w:lang w:val="en-US" w:eastAsia="zh-CN"/>
        </w:rPr>
        <w:t xml:space="preserve"> </w:t>
      </w:r>
      <w:r>
        <w:rPr>
          <w:rFonts w:asciiTheme="majorEastAsia" w:hAnsiTheme="majorEastAsia" w:eastAsiaTheme="majorEastAsia"/>
          <w:color w:val="auto"/>
          <w:sz w:val="24"/>
          <w:szCs w:val="24"/>
          <w:highlight w:val="none"/>
        </w:rPr>
        <w:t>50016</w:t>
      </w:r>
      <w:r>
        <w:rPr>
          <w:rFonts w:hint="eastAsia" w:asciiTheme="majorEastAsia" w:hAnsiTheme="majorEastAsia" w:eastAsiaTheme="majorEastAsia"/>
          <w:color w:val="auto"/>
          <w:sz w:val="24"/>
          <w:szCs w:val="24"/>
          <w:highlight w:val="none"/>
        </w:rPr>
        <w:t>、《建筑内部装修防火设计规范》G</w:t>
      </w:r>
      <w:r>
        <w:rPr>
          <w:rFonts w:asciiTheme="majorEastAsia" w:hAnsiTheme="majorEastAsia" w:eastAsiaTheme="majorEastAsia"/>
          <w:color w:val="auto"/>
          <w:sz w:val="24"/>
          <w:szCs w:val="24"/>
          <w:highlight w:val="none"/>
        </w:rPr>
        <w:t>B</w:t>
      </w:r>
      <w:r>
        <w:rPr>
          <w:rFonts w:hint="eastAsia" w:asciiTheme="majorEastAsia" w:hAnsiTheme="majorEastAsia" w:eastAsiaTheme="majorEastAsia"/>
          <w:color w:val="auto"/>
          <w:sz w:val="24"/>
          <w:szCs w:val="24"/>
          <w:highlight w:val="none"/>
          <w:lang w:val="en-US" w:eastAsia="zh-CN"/>
        </w:rPr>
        <w:t xml:space="preserve"> </w:t>
      </w:r>
      <w:r>
        <w:rPr>
          <w:rFonts w:asciiTheme="majorEastAsia" w:hAnsiTheme="majorEastAsia" w:eastAsiaTheme="majorEastAsia"/>
          <w:color w:val="auto"/>
          <w:sz w:val="24"/>
          <w:szCs w:val="24"/>
          <w:highlight w:val="none"/>
        </w:rPr>
        <w:t>50222</w:t>
      </w:r>
      <w:r>
        <w:rPr>
          <w:rFonts w:hint="eastAsia" w:asciiTheme="majorEastAsia" w:hAnsiTheme="majorEastAsia" w:eastAsiaTheme="majorEastAsia"/>
          <w:color w:val="auto"/>
          <w:sz w:val="24"/>
          <w:szCs w:val="24"/>
          <w:highlight w:val="none"/>
        </w:rPr>
        <w:t>等的规定外，还应符合下列规定：</w:t>
      </w:r>
    </w:p>
    <w:p>
      <w:pPr>
        <w:widowControl/>
        <w:spacing w:line="360" w:lineRule="auto"/>
        <w:ind w:firstLine="420"/>
        <w:rPr>
          <w:rFonts w:ascii="Times New Roman" w:hAnsi="Times New Roman"/>
          <w:color w:val="auto"/>
          <w:sz w:val="24"/>
          <w:szCs w:val="24"/>
          <w:highlight w:val="none"/>
        </w:rPr>
      </w:pPr>
      <w:r>
        <w:rPr>
          <w:rFonts w:hint="eastAsia" w:ascii="Times New Roman" w:hAnsi="Times New Roman"/>
          <w:color w:val="auto"/>
          <w:sz w:val="24"/>
          <w:szCs w:val="24"/>
          <w:highlight w:val="none"/>
        </w:rPr>
        <w:t>1对于人员密集场所，避难场所，用火、燃油、燃气的厨房，封闭楼梯间和前室以及疏散走道的内保温工程，应采用燃烧性能为A级的保温材料。</w:t>
      </w:r>
    </w:p>
    <w:p>
      <w:pPr>
        <w:widowControl/>
        <w:spacing w:line="360" w:lineRule="auto"/>
        <w:ind w:firstLine="420"/>
        <w:rPr>
          <w:rFonts w:ascii="Times New Roman" w:hAnsi="Times New Roman"/>
          <w:color w:val="auto"/>
          <w:sz w:val="24"/>
          <w:szCs w:val="24"/>
          <w:highlight w:val="none"/>
        </w:rPr>
      </w:pPr>
      <w:r>
        <w:rPr>
          <w:rFonts w:hint="eastAsia" w:ascii="Times New Roman" w:hAnsi="Times New Roman"/>
          <w:color w:val="auto"/>
          <w:sz w:val="24"/>
          <w:szCs w:val="24"/>
          <w:highlight w:val="none"/>
        </w:rPr>
        <w:t>2内保温复合板系统应采用不燃型面板材料，当采用燃烧性能为B</w:t>
      </w:r>
      <w:r>
        <w:rPr>
          <w:rFonts w:ascii="Times New Roman" w:hAnsi="Times New Roman"/>
          <w:color w:val="auto"/>
          <w:sz w:val="24"/>
          <w:szCs w:val="24"/>
          <w:highlight w:val="none"/>
        </w:rPr>
        <w:t>1</w:t>
      </w:r>
      <w:r>
        <w:rPr>
          <w:rFonts w:hint="eastAsia" w:ascii="Times New Roman" w:hAnsi="Times New Roman"/>
          <w:color w:val="auto"/>
          <w:sz w:val="24"/>
          <w:szCs w:val="24"/>
          <w:highlight w:val="none"/>
        </w:rPr>
        <w:t>级的保温材料时，其面板厚度应不低于1</w:t>
      </w:r>
      <w:r>
        <w:rPr>
          <w:rFonts w:ascii="Times New Roman" w:hAnsi="Times New Roman"/>
          <w:color w:val="auto"/>
          <w:sz w:val="24"/>
          <w:szCs w:val="24"/>
          <w:highlight w:val="none"/>
        </w:rPr>
        <w:t>0</w:t>
      </w:r>
      <w:r>
        <w:rPr>
          <w:rFonts w:hint="eastAsia" w:ascii="Times New Roman" w:hAnsi="Times New Roman"/>
          <w:color w:val="auto"/>
          <w:sz w:val="24"/>
          <w:szCs w:val="24"/>
          <w:highlight w:val="none"/>
        </w:rPr>
        <w:t>mm。</w:t>
      </w:r>
    </w:p>
    <w:p>
      <w:pPr>
        <w:widowControl/>
        <w:spacing w:line="360" w:lineRule="auto"/>
        <w:rPr>
          <w:rFonts w:asciiTheme="majorEastAsia" w:hAnsiTheme="majorEastAsia" w:eastAsiaTheme="majorEastAsia"/>
          <w:color w:val="auto"/>
          <w:sz w:val="24"/>
          <w:szCs w:val="24"/>
          <w:highlight w:val="none"/>
        </w:rPr>
      </w:pPr>
      <w:r>
        <w:rPr>
          <w:rFonts w:hint="eastAsia" w:ascii="楷体" w:hAnsi="楷体" w:eastAsia="楷体"/>
          <w:color w:val="auto"/>
          <w:sz w:val="24"/>
          <w:szCs w:val="24"/>
          <w:highlight w:val="none"/>
        </w:rPr>
        <w:t>【条文说明】</w:t>
      </w:r>
      <w:r>
        <w:rPr>
          <w:rFonts w:hint="eastAsia" w:ascii="楷体" w:hAnsi="楷体" w:eastAsia="楷体"/>
          <w:color w:val="auto"/>
          <w:sz w:val="24"/>
          <w:szCs w:val="24"/>
          <w:highlight w:val="none"/>
          <w:lang w:val="en-US" w:eastAsia="zh-CN"/>
        </w:rPr>
        <w:t>3.0.6</w:t>
      </w:r>
      <w:r>
        <w:rPr>
          <w:rFonts w:hint="eastAsia" w:ascii="楷体" w:hAnsi="楷体" w:eastAsia="楷体"/>
          <w:color w:val="auto"/>
          <w:sz w:val="24"/>
          <w:szCs w:val="24"/>
          <w:highlight w:val="none"/>
        </w:rPr>
        <w:t>为防止和减少火灾危害，保护人身和财产安全，设计人员应根据建筑防火设计的要求，合理选择内保温系统材料的燃烧性能及其附加分级。按照重庆市建筑节能设计标准要求，并根据现行国家标准《建筑设计防火规范》GB</w:t>
      </w:r>
      <w:r>
        <w:rPr>
          <w:rFonts w:hint="eastAsia" w:ascii="楷体" w:hAnsi="楷体" w:eastAsia="楷体"/>
          <w:color w:val="auto"/>
          <w:sz w:val="24"/>
          <w:szCs w:val="24"/>
          <w:highlight w:val="none"/>
          <w:lang w:val="en-US" w:eastAsia="zh-CN"/>
        </w:rPr>
        <w:t xml:space="preserve"> </w:t>
      </w:r>
      <w:r>
        <w:rPr>
          <w:rFonts w:hint="eastAsia" w:ascii="楷体" w:hAnsi="楷体" w:eastAsia="楷体"/>
          <w:color w:val="auto"/>
          <w:sz w:val="24"/>
          <w:szCs w:val="24"/>
          <w:highlight w:val="none"/>
        </w:rPr>
        <w:t>50016的规定，人员密集场所，用火、燃油、燃气等具有火灾危险性的场所以及各类建筑内的疏散楼梯间、避难走道、避难间、避难层等场所或部位，应采用燃烧性能为A级的保温材料。内保温系统采用燃烧性能为B</w:t>
      </w:r>
      <w:r>
        <w:rPr>
          <w:rFonts w:ascii="楷体" w:hAnsi="楷体" w:eastAsia="楷体"/>
          <w:color w:val="auto"/>
          <w:sz w:val="24"/>
          <w:szCs w:val="24"/>
          <w:highlight w:val="none"/>
        </w:rPr>
        <w:t>1</w:t>
      </w:r>
      <w:r>
        <w:rPr>
          <w:rFonts w:hint="eastAsia" w:ascii="楷体" w:hAnsi="楷体" w:eastAsia="楷体"/>
          <w:color w:val="auto"/>
          <w:sz w:val="24"/>
          <w:szCs w:val="24"/>
          <w:highlight w:val="none"/>
        </w:rPr>
        <w:t>级的保温材料时，防护层的厚度不应小于1</w:t>
      </w:r>
      <w:r>
        <w:rPr>
          <w:rFonts w:ascii="楷体" w:hAnsi="楷体" w:eastAsia="楷体"/>
          <w:color w:val="auto"/>
          <w:sz w:val="24"/>
          <w:szCs w:val="24"/>
          <w:highlight w:val="none"/>
        </w:rPr>
        <w:t>0</w:t>
      </w:r>
      <w:r>
        <w:rPr>
          <w:rFonts w:hint="eastAsia" w:ascii="楷体" w:hAnsi="楷体" w:eastAsia="楷体"/>
          <w:color w:val="auto"/>
          <w:sz w:val="24"/>
          <w:szCs w:val="24"/>
          <w:highlight w:val="none"/>
        </w:rPr>
        <w:t>mm，作出上述规定。</w:t>
      </w:r>
    </w:p>
    <w:p>
      <w:pPr>
        <w:spacing w:line="360" w:lineRule="auto"/>
        <w:outlineLvl w:val="2"/>
        <w:rPr>
          <w:rFonts w:asciiTheme="majorEastAsia" w:hAnsiTheme="majorEastAsia" w:eastAsiaTheme="majorEastAsia"/>
          <w:color w:val="auto"/>
          <w:sz w:val="24"/>
          <w:szCs w:val="24"/>
          <w:highlight w:val="none"/>
        </w:rPr>
      </w:pPr>
      <w:r>
        <w:rPr>
          <w:rFonts w:hint="eastAsia" w:asciiTheme="majorEastAsia" w:hAnsiTheme="majorEastAsia" w:eastAsiaTheme="majorEastAsia"/>
          <w:color w:val="auto"/>
          <w:sz w:val="24"/>
          <w:szCs w:val="24"/>
          <w:highlight w:val="none"/>
        </w:rPr>
        <w:t>3.0.7 建筑内保温复合板防水工程设计应符合现行行业标准《住宅室内防水工程技术规范》JGJ</w:t>
      </w:r>
      <w:r>
        <w:rPr>
          <w:rFonts w:hint="eastAsia" w:asciiTheme="majorEastAsia" w:hAnsiTheme="majorEastAsia" w:eastAsiaTheme="majorEastAsia"/>
          <w:color w:val="auto"/>
          <w:sz w:val="24"/>
          <w:szCs w:val="24"/>
          <w:highlight w:val="none"/>
          <w:lang w:val="en-US" w:eastAsia="zh-CN"/>
        </w:rPr>
        <w:t xml:space="preserve"> </w:t>
      </w:r>
      <w:r>
        <w:rPr>
          <w:rFonts w:hint="eastAsia" w:asciiTheme="majorEastAsia" w:hAnsiTheme="majorEastAsia" w:eastAsiaTheme="majorEastAsia"/>
          <w:color w:val="auto"/>
          <w:sz w:val="24"/>
          <w:szCs w:val="24"/>
          <w:highlight w:val="none"/>
        </w:rPr>
        <w:t>298的规定。</w:t>
      </w:r>
    </w:p>
    <w:p>
      <w:pPr>
        <w:widowControl/>
        <w:spacing w:line="360" w:lineRule="auto"/>
        <w:rPr>
          <w:rFonts w:asciiTheme="minorEastAsia" w:hAnsiTheme="minorEastAsia"/>
          <w:b/>
          <w:color w:val="auto"/>
          <w:sz w:val="24"/>
          <w:szCs w:val="24"/>
          <w:highlight w:val="none"/>
        </w:rPr>
      </w:pPr>
      <w:r>
        <w:rPr>
          <w:rFonts w:hint="eastAsia" w:ascii="楷体" w:hAnsi="楷体" w:eastAsia="楷体"/>
          <w:color w:val="auto"/>
          <w:sz w:val="24"/>
          <w:szCs w:val="24"/>
          <w:highlight w:val="none"/>
        </w:rPr>
        <w:t>【条文说明】</w:t>
      </w:r>
      <w:r>
        <w:rPr>
          <w:rFonts w:hint="eastAsia" w:ascii="楷体" w:hAnsi="楷体" w:eastAsia="楷体"/>
          <w:color w:val="auto"/>
          <w:sz w:val="24"/>
          <w:szCs w:val="24"/>
          <w:highlight w:val="none"/>
          <w:lang w:val="en-US" w:eastAsia="zh-CN"/>
        </w:rPr>
        <w:t>3.0.7</w:t>
      </w:r>
      <w:r>
        <w:rPr>
          <w:rFonts w:hint="eastAsia" w:ascii="楷体" w:hAnsi="楷体" w:eastAsia="楷体"/>
          <w:color w:val="auto"/>
          <w:sz w:val="24"/>
          <w:szCs w:val="24"/>
          <w:highlight w:val="none"/>
        </w:rPr>
        <w:t>内保温</w:t>
      </w:r>
      <w:r>
        <w:rPr>
          <w:rFonts w:ascii="楷体" w:hAnsi="楷体" w:eastAsia="楷体"/>
          <w:color w:val="auto"/>
          <w:sz w:val="24"/>
          <w:szCs w:val="24"/>
          <w:highlight w:val="none"/>
        </w:rPr>
        <w:t>系统需</w:t>
      </w:r>
      <w:r>
        <w:rPr>
          <w:rFonts w:hint="eastAsia" w:ascii="楷体" w:hAnsi="楷体" w:eastAsia="楷体"/>
          <w:color w:val="auto"/>
          <w:sz w:val="24"/>
          <w:szCs w:val="24"/>
          <w:highlight w:val="none"/>
        </w:rPr>
        <w:t>考虑</w:t>
      </w:r>
      <w:r>
        <w:rPr>
          <w:rFonts w:ascii="楷体" w:hAnsi="楷体" w:eastAsia="楷体"/>
          <w:color w:val="auto"/>
          <w:sz w:val="24"/>
          <w:szCs w:val="24"/>
          <w:highlight w:val="none"/>
        </w:rPr>
        <w:t>室内</w:t>
      </w:r>
      <w:r>
        <w:rPr>
          <w:rFonts w:hint="eastAsia" w:ascii="楷体" w:hAnsi="楷体" w:eastAsia="楷体"/>
          <w:color w:val="auto"/>
          <w:sz w:val="24"/>
          <w:szCs w:val="24"/>
          <w:highlight w:val="none"/>
        </w:rPr>
        <w:t>防火</w:t>
      </w:r>
      <w:r>
        <w:rPr>
          <w:rFonts w:ascii="楷体" w:hAnsi="楷体" w:eastAsia="楷体"/>
          <w:color w:val="auto"/>
          <w:sz w:val="24"/>
          <w:szCs w:val="24"/>
          <w:highlight w:val="none"/>
        </w:rPr>
        <w:t>和防水的要求</w:t>
      </w:r>
      <w:r>
        <w:rPr>
          <w:rFonts w:hint="eastAsia" w:ascii="楷体" w:hAnsi="楷体" w:eastAsia="楷体"/>
          <w:color w:val="auto"/>
          <w:sz w:val="24"/>
          <w:szCs w:val="24"/>
          <w:highlight w:val="none"/>
        </w:rPr>
        <w:t>。</w:t>
      </w:r>
    </w:p>
    <w:p>
      <w:pPr>
        <w:spacing w:line="360" w:lineRule="auto"/>
        <w:jc w:val="left"/>
        <w:outlineLvl w:val="2"/>
        <w:rPr>
          <w:rFonts w:asciiTheme="minorEastAsia" w:hAnsiTheme="minorEastAsia"/>
          <w:bCs/>
          <w:color w:val="auto"/>
          <w:sz w:val="24"/>
          <w:szCs w:val="24"/>
          <w:highlight w:val="none"/>
        </w:rPr>
      </w:pPr>
      <w:r>
        <w:rPr>
          <w:rFonts w:hint="eastAsia" w:asciiTheme="minorEastAsia" w:hAnsiTheme="minorEastAsia"/>
          <w:bCs/>
          <w:color w:val="auto"/>
          <w:sz w:val="24"/>
          <w:szCs w:val="24"/>
          <w:highlight w:val="none"/>
        </w:rPr>
        <w:t>3.0.</w:t>
      </w:r>
      <w:r>
        <w:rPr>
          <w:rFonts w:hint="eastAsia" w:asciiTheme="minorEastAsia" w:hAnsiTheme="minorEastAsia"/>
          <w:bCs/>
          <w:color w:val="auto"/>
          <w:sz w:val="24"/>
          <w:szCs w:val="24"/>
          <w:highlight w:val="none"/>
          <w:lang w:val="en-US" w:eastAsia="zh-CN"/>
        </w:rPr>
        <w:t>8</w:t>
      </w:r>
      <w:r>
        <w:rPr>
          <w:rFonts w:hint="eastAsia" w:asciiTheme="minorEastAsia" w:hAnsiTheme="minorEastAsia"/>
          <w:bCs/>
          <w:color w:val="auto"/>
          <w:sz w:val="24"/>
          <w:szCs w:val="24"/>
          <w:highlight w:val="none"/>
        </w:rPr>
        <w:t xml:space="preserve"> 建筑内保温工程用于厨房、卫生间等潮湿环境时，应具有防止水渗透性能。</w:t>
      </w:r>
    </w:p>
    <w:p>
      <w:pPr>
        <w:spacing w:line="360" w:lineRule="auto"/>
        <w:jc w:val="left"/>
        <w:rPr>
          <w:rFonts w:asciiTheme="minorEastAsia" w:hAnsiTheme="minorEastAsia"/>
          <w:b/>
          <w:color w:val="auto"/>
          <w:sz w:val="24"/>
          <w:szCs w:val="24"/>
          <w:highlight w:val="none"/>
        </w:rPr>
      </w:pPr>
      <w:r>
        <w:rPr>
          <w:rFonts w:hint="eastAsia" w:ascii="楷体" w:hAnsi="楷体" w:eastAsia="楷体"/>
          <w:color w:val="auto"/>
          <w:sz w:val="24"/>
          <w:szCs w:val="24"/>
          <w:highlight w:val="none"/>
        </w:rPr>
        <w:t>【条文说明】</w:t>
      </w:r>
      <w:r>
        <w:rPr>
          <w:rFonts w:hint="eastAsia" w:ascii="楷体" w:hAnsi="楷体" w:eastAsia="楷体"/>
          <w:color w:val="auto"/>
          <w:sz w:val="24"/>
          <w:szCs w:val="24"/>
          <w:highlight w:val="none"/>
          <w:lang w:val="en-US" w:eastAsia="zh-CN"/>
        </w:rPr>
        <w:t>3.0.8</w:t>
      </w:r>
      <w:r>
        <w:rPr>
          <w:rFonts w:hint="eastAsia" w:ascii="楷体" w:hAnsi="楷体" w:eastAsia="楷体"/>
          <w:color w:val="auto"/>
          <w:sz w:val="24"/>
          <w:szCs w:val="24"/>
          <w:highlight w:val="none"/>
        </w:rPr>
        <w:t>建筑内保温工程用于厨房、卫生间等潮湿环境时，应具有防水渗透性能，避免对保温层造成损害。其防水渗透性能，主要靠系统的各构造层次组成材料。需要慎重选择粘结层材料、保温层材料、防护层材料。内保温复合板系统</w:t>
      </w:r>
      <w:r>
        <w:rPr>
          <w:rFonts w:hint="eastAsia" w:ascii="楷体" w:hAnsi="楷体" w:eastAsia="楷体" w:cs="宋体"/>
          <w:color w:val="auto"/>
          <w:spacing w:val="-8"/>
          <w:kern w:val="0"/>
          <w:sz w:val="24"/>
          <w:szCs w:val="24"/>
          <w:highlight w:val="none"/>
        </w:rPr>
        <w:t>的材料性能、构造方式，尤其是面板板缝的存在，使其难以实现较好的防水、防水蒸气渗透功能。</w:t>
      </w:r>
    </w:p>
    <w:p>
      <w:pPr>
        <w:spacing w:line="360" w:lineRule="auto"/>
        <w:jc w:val="left"/>
        <w:outlineLvl w:val="2"/>
        <w:rPr>
          <w:rFonts w:asciiTheme="minorEastAsia" w:hAnsiTheme="minorEastAsia"/>
          <w:color w:val="auto"/>
          <w:sz w:val="24"/>
          <w:szCs w:val="24"/>
          <w:highlight w:val="none"/>
        </w:rPr>
      </w:pPr>
      <w:r>
        <w:rPr>
          <w:rFonts w:hint="eastAsia" w:asciiTheme="minorEastAsia" w:hAnsiTheme="minorEastAsia"/>
          <w:bCs/>
          <w:color w:val="auto"/>
          <w:sz w:val="24"/>
          <w:szCs w:val="24"/>
          <w:highlight w:val="none"/>
        </w:rPr>
        <w:t>3.0.</w:t>
      </w:r>
      <w:r>
        <w:rPr>
          <w:rFonts w:hint="eastAsia" w:asciiTheme="minorEastAsia" w:hAnsiTheme="minorEastAsia"/>
          <w:bCs/>
          <w:color w:val="auto"/>
          <w:sz w:val="24"/>
          <w:szCs w:val="24"/>
          <w:highlight w:val="none"/>
          <w:lang w:val="en-US" w:eastAsia="zh-CN"/>
        </w:rPr>
        <w:t>9</w:t>
      </w:r>
      <w:r>
        <w:rPr>
          <w:rFonts w:hint="eastAsia" w:asciiTheme="minorEastAsia" w:hAnsiTheme="minorEastAsia"/>
          <w:bCs/>
          <w:color w:val="auto"/>
          <w:sz w:val="24"/>
          <w:szCs w:val="24"/>
          <w:highlight w:val="none"/>
        </w:rPr>
        <w:t xml:space="preserve"> </w:t>
      </w:r>
      <w:r>
        <w:rPr>
          <w:rFonts w:hint="eastAsia" w:asciiTheme="minorEastAsia" w:hAnsiTheme="minorEastAsia"/>
          <w:color w:val="auto"/>
          <w:sz w:val="24"/>
          <w:szCs w:val="24"/>
          <w:highlight w:val="none"/>
        </w:rPr>
        <w:t>建筑内保温复合墙体的保温、隔热和防潮性能，应符合现行国家</w:t>
      </w:r>
      <w:r>
        <w:rPr>
          <w:rFonts w:hint="eastAsia" w:asciiTheme="minorEastAsia" w:hAnsiTheme="minorEastAsia"/>
          <w:color w:val="auto"/>
          <w:sz w:val="24"/>
          <w:szCs w:val="24"/>
          <w:highlight w:val="none"/>
          <w:lang w:eastAsia="zh-CN"/>
        </w:rPr>
        <w:t>《</w:t>
      </w:r>
      <w:r>
        <w:rPr>
          <w:rFonts w:hint="eastAsia" w:asciiTheme="minorEastAsia" w:hAnsiTheme="minorEastAsia"/>
          <w:color w:val="auto"/>
          <w:sz w:val="24"/>
          <w:szCs w:val="24"/>
          <w:highlight w:val="none"/>
          <w:lang w:val="en-US" w:eastAsia="zh-CN"/>
        </w:rPr>
        <w:t>建筑节能与可再生能源利用通用规范</w:t>
      </w:r>
      <w:r>
        <w:rPr>
          <w:rFonts w:hint="eastAsia" w:asciiTheme="minorEastAsia" w:hAnsiTheme="minorEastAsia"/>
          <w:color w:val="auto"/>
          <w:sz w:val="24"/>
          <w:szCs w:val="24"/>
          <w:highlight w:val="none"/>
          <w:lang w:eastAsia="zh-CN"/>
        </w:rPr>
        <w:t>》</w:t>
      </w:r>
      <w:r>
        <w:rPr>
          <w:rFonts w:hint="eastAsia" w:asciiTheme="minorEastAsia" w:hAnsiTheme="minorEastAsia"/>
          <w:color w:val="auto"/>
          <w:sz w:val="24"/>
          <w:szCs w:val="24"/>
          <w:highlight w:val="none"/>
          <w:lang w:val="en-US" w:eastAsia="zh-CN"/>
        </w:rPr>
        <w:t>GB 55015、</w:t>
      </w:r>
      <w:r>
        <w:rPr>
          <w:rFonts w:hint="eastAsia" w:asciiTheme="minorEastAsia" w:hAnsiTheme="minorEastAsia"/>
          <w:color w:val="auto"/>
          <w:sz w:val="24"/>
          <w:szCs w:val="24"/>
          <w:highlight w:val="none"/>
        </w:rPr>
        <w:t>《民用建筑热工设计规范》GB</w:t>
      </w:r>
      <w:r>
        <w:rPr>
          <w:rFonts w:hint="eastAsia" w:asciiTheme="minorEastAsia" w:hAnsiTheme="minorEastAsia"/>
          <w:color w:val="auto"/>
          <w:sz w:val="24"/>
          <w:szCs w:val="24"/>
          <w:highlight w:val="none"/>
          <w:lang w:val="en-US" w:eastAsia="zh-CN"/>
        </w:rPr>
        <w:t xml:space="preserve"> </w:t>
      </w:r>
      <w:r>
        <w:rPr>
          <w:rFonts w:hint="eastAsia" w:asciiTheme="minorEastAsia" w:hAnsiTheme="minorEastAsia"/>
          <w:color w:val="auto"/>
          <w:sz w:val="24"/>
          <w:szCs w:val="24"/>
          <w:highlight w:val="none"/>
        </w:rPr>
        <w:t>50176和重庆市现行有关建筑节能设计标准的规定。</w:t>
      </w:r>
    </w:p>
    <w:p>
      <w:pPr>
        <w:pStyle w:val="90"/>
        <w:shd w:val="clear" w:color="auto" w:fill="FFFFFF"/>
        <w:spacing w:before="0" w:beforeAutospacing="0" w:after="0" w:afterAutospacing="0" w:line="360" w:lineRule="auto"/>
        <w:rPr>
          <w:rFonts w:hint="eastAsia" w:ascii="楷体" w:hAnsi="楷体" w:eastAsia="楷体"/>
          <w:color w:val="auto"/>
          <w:spacing w:val="-8"/>
          <w:highlight w:val="none"/>
        </w:rPr>
      </w:pPr>
      <w:r>
        <w:rPr>
          <w:rFonts w:hint="eastAsia" w:ascii="楷体" w:hAnsi="楷体" w:eastAsia="楷体"/>
          <w:color w:val="auto"/>
          <w:spacing w:val="-8"/>
          <w:highlight w:val="none"/>
        </w:rPr>
        <w:t>【条文说明】</w:t>
      </w:r>
      <w:r>
        <w:rPr>
          <w:rFonts w:hint="eastAsia" w:ascii="楷体" w:hAnsi="楷体" w:eastAsia="楷体"/>
          <w:color w:val="auto"/>
          <w:spacing w:val="-8"/>
          <w:highlight w:val="none"/>
          <w:lang w:val="en-US" w:eastAsia="zh-CN"/>
        </w:rPr>
        <w:t>3.0.9</w:t>
      </w:r>
      <w:r>
        <w:rPr>
          <w:rFonts w:hint="eastAsia" w:ascii="楷体" w:hAnsi="楷体" w:eastAsia="楷体"/>
          <w:color w:val="auto"/>
          <w:spacing w:val="-8"/>
          <w:highlight w:val="none"/>
        </w:rPr>
        <w:t>外墙内保温系统：置于建筑物外墙内侧的非承重保温构造的总称，是由</w:t>
      </w:r>
    </w:p>
    <w:p>
      <w:pPr>
        <w:pStyle w:val="90"/>
        <w:shd w:val="clear" w:color="auto" w:fill="FFFFFF"/>
        <w:spacing w:before="0" w:beforeAutospacing="0" w:after="0" w:afterAutospacing="0" w:line="360" w:lineRule="auto"/>
        <w:rPr>
          <w:color w:val="auto"/>
          <w:spacing w:val="-8"/>
          <w:highlight w:val="none"/>
        </w:rPr>
      </w:pPr>
      <w:r>
        <w:rPr>
          <w:rFonts w:hint="eastAsia" w:ascii="楷体" w:hAnsi="楷体" w:eastAsia="楷体"/>
          <w:color w:val="auto"/>
          <w:spacing w:val="-8"/>
          <w:highlight w:val="none"/>
        </w:rPr>
        <w:t>保温层、护面层、饰面层等组成的具有保温隔热的围护系</w:t>
      </w:r>
      <w:r>
        <w:rPr>
          <w:rFonts w:hint="eastAsia" w:ascii="楷体" w:hAnsi="楷体" w:eastAsia="楷体"/>
          <w:color w:val="auto"/>
          <w:highlight w:val="none"/>
        </w:rPr>
        <w:t>统。该系统的</w:t>
      </w:r>
      <w:r>
        <w:rPr>
          <w:rFonts w:hint="eastAsia" w:ascii="楷体" w:hAnsi="楷体" w:eastAsia="楷体"/>
          <w:color w:val="auto"/>
          <w:spacing w:val="-8"/>
          <w:highlight w:val="none"/>
        </w:rPr>
        <w:t>保温、隔热性能参数应按照</w:t>
      </w:r>
      <w:r>
        <w:rPr>
          <w:rFonts w:hint="eastAsia" w:ascii="楷体" w:hAnsi="楷体" w:eastAsia="楷体"/>
          <w:color w:val="auto"/>
          <w:spacing w:val="-8"/>
          <w:highlight w:val="none"/>
          <w:lang w:eastAsia="zh-CN"/>
        </w:rPr>
        <w:t>《</w:t>
      </w:r>
      <w:r>
        <w:rPr>
          <w:rFonts w:hint="eastAsia" w:ascii="楷体" w:hAnsi="楷体" w:eastAsia="楷体"/>
          <w:color w:val="auto"/>
          <w:spacing w:val="-8"/>
          <w:highlight w:val="none"/>
          <w:lang w:val="en-US" w:eastAsia="zh-CN"/>
        </w:rPr>
        <w:t>建筑节能与可再生能源利用通用规范</w:t>
      </w:r>
      <w:r>
        <w:rPr>
          <w:rFonts w:hint="eastAsia" w:ascii="楷体" w:hAnsi="楷体" w:eastAsia="楷体"/>
          <w:color w:val="auto"/>
          <w:spacing w:val="-8"/>
          <w:highlight w:val="none"/>
          <w:lang w:eastAsia="zh-CN"/>
        </w:rPr>
        <w:t>》</w:t>
      </w:r>
      <w:r>
        <w:rPr>
          <w:rFonts w:hint="eastAsia" w:ascii="楷体" w:hAnsi="楷体" w:eastAsia="楷体"/>
          <w:color w:val="auto"/>
          <w:spacing w:val="-8"/>
          <w:highlight w:val="none"/>
          <w:lang w:val="en-US" w:eastAsia="zh-CN"/>
        </w:rPr>
        <w:t>GB 55015、</w:t>
      </w:r>
      <w:r>
        <w:rPr>
          <w:rFonts w:hint="eastAsia" w:ascii="楷体" w:hAnsi="楷体" w:eastAsia="楷体"/>
          <w:color w:val="auto"/>
          <w:spacing w:val="-8"/>
          <w:highlight w:val="none"/>
        </w:rPr>
        <w:t>《民用建筑热工设计规范》GB</w:t>
      </w:r>
      <w:r>
        <w:rPr>
          <w:rFonts w:hint="eastAsia" w:ascii="楷体" w:hAnsi="楷体" w:eastAsia="楷体"/>
          <w:color w:val="auto"/>
          <w:spacing w:val="-8"/>
          <w:highlight w:val="none"/>
          <w:lang w:val="en-US" w:eastAsia="zh-CN"/>
        </w:rPr>
        <w:t xml:space="preserve"> </w:t>
      </w:r>
      <w:r>
        <w:rPr>
          <w:rFonts w:hint="eastAsia" w:ascii="楷体" w:hAnsi="楷体" w:eastAsia="楷体"/>
          <w:color w:val="auto"/>
          <w:spacing w:val="-8"/>
          <w:highlight w:val="none"/>
        </w:rPr>
        <w:t>50176和</w:t>
      </w:r>
      <w:r>
        <w:rPr>
          <w:rFonts w:hint="eastAsia" w:ascii="楷体" w:hAnsi="楷体" w:eastAsia="楷体"/>
          <w:color w:val="auto"/>
          <w:highlight w:val="none"/>
        </w:rPr>
        <w:t>重庆市《公共建筑节能（绿色建筑）设计标准》DBJ</w:t>
      </w:r>
      <w:r>
        <w:rPr>
          <w:rFonts w:hint="eastAsia" w:ascii="楷体" w:hAnsi="楷体" w:eastAsia="楷体"/>
          <w:color w:val="auto"/>
          <w:highlight w:val="none"/>
          <w:lang w:val="en-US" w:eastAsia="zh-CN"/>
        </w:rPr>
        <w:t xml:space="preserve"> </w:t>
      </w:r>
      <w:r>
        <w:rPr>
          <w:rFonts w:hint="eastAsia" w:ascii="楷体" w:hAnsi="楷体" w:eastAsia="楷体"/>
          <w:color w:val="auto"/>
          <w:highlight w:val="none"/>
        </w:rPr>
        <w:t>50-052、《居住建筑节能（绿色建筑）设计标准》DBJ</w:t>
      </w:r>
      <w:r>
        <w:rPr>
          <w:rFonts w:hint="eastAsia" w:ascii="楷体" w:hAnsi="楷体" w:eastAsia="楷体"/>
          <w:color w:val="auto"/>
          <w:highlight w:val="none"/>
          <w:lang w:val="en-US" w:eastAsia="zh-CN"/>
        </w:rPr>
        <w:t xml:space="preserve"> </w:t>
      </w:r>
      <w:r>
        <w:rPr>
          <w:rFonts w:hint="eastAsia" w:ascii="楷体" w:hAnsi="楷体" w:eastAsia="楷体"/>
          <w:color w:val="auto"/>
          <w:highlight w:val="none"/>
        </w:rPr>
        <w:t>50-071的规定，</w:t>
      </w:r>
      <w:r>
        <w:rPr>
          <w:rFonts w:hint="eastAsia" w:ascii="楷体" w:hAnsi="楷体" w:eastAsia="楷体"/>
          <w:color w:val="auto"/>
          <w:spacing w:val="-8"/>
          <w:highlight w:val="none"/>
        </w:rPr>
        <w:t>通过计算确定。系统的防潮性能应通过结露验算确定，为减少保温材料</w:t>
      </w:r>
      <w:r>
        <w:rPr>
          <w:rFonts w:ascii="楷体" w:hAnsi="楷体" w:eastAsia="楷体"/>
          <w:color w:val="auto"/>
          <w:spacing w:val="-8"/>
          <w:highlight w:val="none"/>
        </w:rPr>
        <w:t>蒸汽</w:t>
      </w:r>
      <w:r>
        <w:rPr>
          <w:rFonts w:hint="eastAsia" w:ascii="楷体" w:hAnsi="楷体" w:eastAsia="楷体"/>
          <w:color w:val="auto"/>
          <w:spacing w:val="-8"/>
          <w:highlight w:val="none"/>
        </w:rPr>
        <w:t>的</w:t>
      </w:r>
      <w:r>
        <w:rPr>
          <w:rFonts w:ascii="楷体" w:hAnsi="楷体" w:eastAsia="楷体"/>
          <w:color w:val="auto"/>
          <w:spacing w:val="-8"/>
          <w:highlight w:val="none"/>
        </w:rPr>
        <w:t>渗透性</w:t>
      </w:r>
      <w:r>
        <w:rPr>
          <w:rFonts w:hint="eastAsia" w:ascii="楷体" w:hAnsi="楷体" w:eastAsia="楷体"/>
          <w:color w:val="auto"/>
          <w:spacing w:val="-8"/>
          <w:highlight w:val="none"/>
        </w:rPr>
        <w:t>，必要时可设置隔汽层。</w:t>
      </w:r>
    </w:p>
    <w:p>
      <w:pPr>
        <w:rPr>
          <w:rFonts w:ascii="Times New Roman" w:hAnsi="Times New Roman"/>
          <w:color w:val="auto"/>
          <w:sz w:val="28"/>
          <w:szCs w:val="28"/>
          <w:highlight w:val="none"/>
        </w:rPr>
      </w:pPr>
      <w:bookmarkStart w:id="133" w:name="_Toc460593170"/>
      <w:bookmarkStart w:id="134" w:name="_Toc18876"/>
      <w:r>
        <w:rPr>
          <w:rFonts w:hint="eastAsia" w:ascii="Times New Roman" w:hAnsi="Times New Roman"/>
          <w:color w:val="auto"/>
          <w:sz w:val="28"/>
          <w:szCs w:val="28"/>
          <w:highlight w:val="none"/>
        </w:rPr>
        <w:br w:type="page"/>
      </w:r>
    </w:p>
    <w:p>
      <w:pPr>
        <w:pStyle w:val="4"/>
        <w:bidi w:val="0"/>
        <w:rPr>
          <w:color w:val="auto"/>
          <w:highlight w:val="none"/>
        </w:rPr>
      </w:pPr>
      <w:bookmarkStart w:id="135" w:name="_Toc29859"/>
      <w:bookmarkStart w:id="136" w:name="_Toc19158"/>
      <w:bookmarkStart w:id="137" w:name="_Toc14211"/>
      <w:bookmarkStart w:id="138" w:name="_Toc20134"/>
      <w:bookmarkStart w:id="139" w:name="_Toc21733"/>
      <w:r>
        <w:rPr>
          <w:rFonts w:hint="eastAsia"/>
          <w:color w:val="auto"/>
          <w:highlight w:val="none"/>
        </w:rPr>
        <w:t xml:space="preserve">4  </w:t>
      </w:r>
      <w:bookmarkEnd w:id="133"/>
      <w:bookmarkEnd w:id="134"/>
      <w:bookmarkEnd w:id="135"/>
      <w:bookmarkEnd w:id="136"/>
      <w:bookmarkEnd w:id="137"/>
      <w:bookmarkEnd w:id="138"/>
      <w:r>
        <w:rPr>
          <w:rFonts w:hint="eastAsia"/>
          <w:color w:val="auto"/>
          <w:highlight w:val="none"/>
        </w:rPr>
        <w:t>性能要求</w:t>
      </w:r>
      <w:bookmarkEnd w:id="139"/>
    </w:p>
    <w:p>
      <w:pPr>
        <w:pStyle w:val="5"/>
        <w:bidi w:val="0"/>
        <w:rPr>
          <w:color w:val="auto"/>
          <w:highlight w:val="none"/>
        </w:rPr>
      </w:pPr>
      <w:bookmarkStart w:id="140" w:name="_Toc19578"/>
      <w:bookmarkStart w:id="141" w:name="_Toc4113"/>
      <w:bookmarkStart w:id="142" w:name="_Toc24783"/>
      <w:bookmarkStart w:id="143" w:name="_Toc22402"/>
      <w:bookmarkStart w:id="144" w:name="_Toc25535"/>
      <w:bookmarkStart w:id="145" w:name="_Toc22533"/>
      <w:bookmarkStart w:id="146" w:name="_Toc430006752"/>
      <w:bookmarkStart w:id="147" w:name="OLE_LINK8"/>
      <w:bookmarkStart w:id="148" w:name="OLE_LINK7"/>
      <w:r>
        <w:rPr>
          <w:rFonts w:hint="eastAsia"/>
          <w:color w:val="auto"/>
          <w:highlight w:val="none"/>
        </w:rPr>
        <w:t>4.1 一般规定</w:t>
      </w:r>
      <w:bookmarkEnd w:id="140"/>
      <w:bookmarkEnd w:id="141"/>
      <w:bookmarkEnd w:id="142"/>
      <w:bookmarkEnd w:id="143"/>
      <w:bookmarkEnd w:id="144"/>
      <w:bookmarkEnd w:id="145"/>
    </w:p>
    <w:p>
      <w:pPr>
        <w:spacing w:line="360" w:lineRule="auto"/>
        <w:outlineLvl w:val="2"/>
        <w:rPr>
          <w:rFonts w:hAnsi="宋体"/>
          <w:color w:val="auto"/>
          <w:sz w:val="24"/>
          <w:highlight w:val="none"/>
        </w:rPr>
      </w:pPr>
      <w:r>
        <w:rPr>
          <w:rFonts w:hint="eastAsia" w:hAnsi="宋体"/>
          <w:color w:val="auto"/>
          <w:sz w:val="24"/>
          <w:highlight w:val="none"/>
        </w:rPr>
        <w:t>4.1.1 建筑内保温系统所采用的内保温复合板及粘结石膏、水泥基粘结砂浆、嵌缝石膏、腻子等配套材料应在工厂生产，严禁在工地现场进行保温板的复合加工及配套材料的配制。</w:t>
      </w:r>
    </w:p>
    <w:p>
      <w:pPr>
        <w:spacing w:line="360" w:lineRule="auto"/>
        <w:rPr>
          <w:rFonts w:hAnsi="宋体"/>
          <w:color w:val="auto"/>
          <w:sz w:val="24"/>
          <w:highlight w:val="none"/>
        </w:rPr>
      </w:pPr>
      <w:r>
        <w:rPr>
          <w:rFonts w:hint="eastAsia" w:ascii="方正楷体_GBK" w:hAnsi="方正楷体_GBK" w:eastAsia="方正楷体_GBK" w:cs="方正楷体_GBK"/>
          <w:color w:val="auto"/>
          <w:sz w:val="24"/>
          <w:highlight w:val="none"/>
        </w:rPr>
        <w:t>【条文说明】</w:t>
      </w:r>
      <w:r>
        <w:rPr>
          <w:rFonts w:hint="eastAsia" w:ascii="方正楷体_GBK" w:hAnsi="方正楷体_GBK" w:eastAsia="方正楷体_GBK" w:cs="方正楷体_GBK"/>
          <w:color w:val="auto"/>
          <w:sz w:val="24"/>
          <w:highlight w:val="none"/>
          <w:lang w:val="en-US" w:eastAsia="zh-CN"/>
        </w:rPr>
        <w:t>4.1.1</w:t>
      </w:r>
      <w:r>
        <w:rPr>
          <w:rFonts w:hint="eastAsia" w:ascii="方正楷体_GBK" w:hAnsi="方正楷体_GBK" w:eastAsia="方正楷体_GBK" w:cs="方正楷体_GBK"/>
          <w:color w:val="auto"/>
          <w:sz w:val="24"/>
          <w:highlight w:val="none"/>
        </w:rPr>
        <w:t>保温材料和无机面板的复合需要有重力和若干小时的持续压力才能保证两者粘结牢固，所以只有在工厂生产才能保证复合板产品质量。复合板内保温系统所采用的粘结石膏、水泥基粘接胶浆、嵌缝石膏、腻子等材料有严格的配比要求，施工现场人工配制或随意添加材料组分，会严重影响复合板内保温系统的综合性能，应严格执行本条规定以保证内保温系统工程质量。</w:t>
      </w:r>
    </w:p>
    <w:p>
      <w:pPr>
        <w:spacing w:line="360" w:lineRule="auto"/>
        <w:outlineLvl w:val="2"/>
        <w:rPr>
          <w:rFonts w:hAnsi="宋体"/>
          <w:color w:val="auto"/>
          <w:sz w:val="24"/>
          <w:highlight w:val="none"/>
        </w:rPr>
      </w:pPr>
      <w:r>
        <w:rPr>
          <w:rFonts w:hint="eastAsia" w:hAnsi="宋体"/>
          <w:color w:val="auto"/>
          <w:sz w:val="24"/>
          <w:highlight w:val="none"/>
        </w:rPr>
        <w:t>4.1.2 每张内保温复合板的面板不得拼接，保温板的拼缝数量不宜超过一条。</w:t>
      </w:r>
    </w:p>
    <w:p>
      <w:pPr>
        <w:spacing w:line="360" w:lineRule="auto"/>
        <w:rPr>
          <w:rFonts w:hAnsi="宋体"/>
          <w:color w:val="auto"/>
          <w:sz w:val="24"/>
          <w:highlight w:val="none"/>
        </w:rPr>
      </w:pPr>
      <w:r>
        <w:rPr>
          <w:rFonts w:hint="eastAsia" w:ascii="方正楷体_GBK" w:hAnsi="方正楷体_GBK" w:eastAsia="方正楷体_GBK" w:cs="方正楷体_GBK"/>
          <w:color w:val="auto"/>
          <w:sz w:val="24"/>
          <w:highlight w:val="none"/>
        </w:rPr>
        <w:t>【条文说明】</w:t>
      </w:r>
      <w:r>
        <w:rPr>
          <w:rFonts w:hint="eastAsia" w:ascii="方正楷体_GBK" w:hAnsi="方正楷体_GBK" w:eastAsia="方正楷体_GBK" w:cs="方正楷体_GBK"/>
          <w:color w:val="auto"/>
          <w:sz w:val="24"/>
          <w:highlight w:val="none"/>
          <w:lang w:val="en-US" w:eastAsia="zh-CN"/>
        </w:rPr>
        <w:t>4.1.2</w:t>
      </w:r>
      <w:r>
        <w:rPr>
          <w:rFonts w:hint="eastAsia" w:ascii="方正楷体_GBK" w:hAnsi="方正楷体_GBK" w:eastAsia="方正楷体_GBK" w:cs="方正楷体_GBK"/>
          <w:color w:val="auto"/>
          <w:sz w:val="24"/>
          <w:highlight w:val="none"/>
        </w:rPr>
        <w:t>多块保温板拼合在一张复合板上，会使得复合板力学性能下降，施工时易被破坏。考虑到部分保温板生产线对其尺寸的制约，允许这类保温板拼合到一张面板上，并允许一张面板上出现一条保温板的拼接缝。</w:t>
      </w:r>
    </w:p>
    <w:p>
      <w:pPr>
        <w:spacing w:line="360" w:lineRule="auto"/>
        <w:outlineLvl w:val="2"/>
        <w:rPr>
          <w:rFonts w:hAnsi="宋体"/>
          <w:color w:val="auto"/>
          <w:sz w:val="24"/>
          <w:highlight w:val="none"/>
        </w:rPr>
      </w:pPr>
      <w:r>
        <w:rPr>
          <w:rFonts w:hint="eastAsia" w:hAnsi="宋体"/>
          <w:color w:val="auto"/>
          <w:sz w:val="24"/>
          <w:highlight w:val="none"/>
        </w:rPr>
        <w:t>4.1.3</w:t>
      </w:r>
      <w:r>
        <w:rPr>
          <w:rFonts w:hint="eastAsia" w:hAnsi="宋体"/>
          <w:color w:val="auto"/>
          <w:sz w:val="24"/>
          <w:highlight w:val="none"/>
          <w:lang w:val="en-US" w:eastAsia="zh-CN"/>
        </w:rPr>
        <w:t xml:space="preserve"> </w:t>
      </w:r>
      <w:r>
        <w:rPr>
          <w:rFonts w:hint="eastAsia" w:hAnsi="宋体"/>
          <w:color w:val="auto"/>
          <w:sz w:val="24"/>
          <w:highlight w:val="none"/>
        </w:rPr>
        <w:t>建筑内保温复合板系统所采用的纸面石膏板、粘结石膏和嵌缝石膏严禁使用磷石膏。</w:t>
      </w:r>
    </w:p>
    <w:p>
      <w:pPr>
        <w:spacing w:line="360" w:lineRule="auto"/>
        <w:rPr>
          <w:rFonts w:hAnsi="宋体"/>
          <w:color w:val="auto"/>
          <w:sz w:val="24"/>
          <w:highlight w:val="none"/>
        </w:rPr>
      </w:pPr>
      <w:r>
        <w:rPr>
          <w:rFonts w:hint="eastAsia" w:ascii="方正楷体_GBK" w:hAnsi="方正楷体_GBK" w:eastAsia="方正楷体_GBK" w:cs="方正楷体_GBK"/>
          <w:color w:val="auto"/>
          <w:sz w:val="24"/>
          <w:highlight w:val="none"/>
        </w:rPr>
        <w:t>【条文说明】</w:t>
      </w:r>
      <w:r>
        <w:rPr>
          <w:rFonts w:hint="eastAsia" w:ascii="方正楷体_GBK" w:hAnsi="方正楷体_GBK" w:eastAsia="方正楷体_GBK" w:cs="方正楷体_GBK"/>
          <w:color w:val="auto"/>
          <w:sz w:val="24"/>
          <w:highlight w:val="none"/>
          <w:lang w:val="en-US" w:eastAsia="zh-CN"/>
        </w:rPr>
        <w:t>4.1.3</w:t>
      </w:r>
      <w:r>
        <w:rPr>
          <w:rFonts w:hint="eastAsia" w:ascii="方正楷体_GBK" w:hAnsi="方正楷体_GBK" w:eastAsia="方正楷体_GBK" w:cs="方正楷体_GBK"/>
          <w:color w:val="auto"/>
          <w:sz w:val="24"/>
          <w:highlight w:val="none"/>
        </w:rPr>
        <w:t>磷石膏的有害物质包括可溶性杂质和不溶性杂质两类。中国环境科学研究院固体所曾对全国17家磷肥企业的磷石膏成分进行分析，结果表明，磷石膏的主要杂质是氟化物和P</w:t>
      </w:r>
      <w:r>
        <w:rPr>
          <w:rFonts w:hint="eastAsia" w:ascii="方正楷体_GBK" w:hAnsi="方正楷体_GBK" w:eastAsia="方正楷体_GBK" w:cs="方正楷体_GBK"/>
          <w:color w:val="auto"/>
          <w:sz w:val="24"/>
          <w:highlight w:val="none"/>
          <w:vertAlign w:val="subscript"/>
        </w:rPr>
        <w:t>2</w:t>
      </w:r>
      <w:r>
        <w:rPr>
          <w:rFonts w:hint="eastAsia" w:ascii="方正楷体_GBK" w:hAnsi="方正楷体_GBK" w:eastAsia="方正楷体_GBK" w:cs="方正楷体_GBK"/>
          <w:color w:val="auto"/>
          <w:sz w:val="24"/>
          <w:highlight w:val="none"/>
        </w:rPr>
        <w:t>O</w:t>
      </w:r>
      <w:r>
        <w:rPr>
          <w:rFonts w:hint="eastAsia" w:ascii="方正楷体_GBK" w:hAnsi="方正楷体_GBK" w:eastAsia="方正楷体_GBK" w:cs="方正楷体_GBK"/>
          <w:color w:val="auto"/>
          <w:sz w:val="24"/>
          <w:highlight w:val="none"/>
          <w:vertAlign w:val="subscript"/>
        </w:rPr>
        <w:t>5</w:t>
      </w:r>
      <w:r>
        <w:rPr>
          <w:rFonts w:hint="eastAsia" w:ascii="方正楷体_GBK" w:hAnsi="方正楷体_GBK" w:eastAsia="方正楷体_GBK" w:cs="方正楷体_GBK"/>
          <w:color w:val="auto"/>
          <w:sz w:val="24"/>
          <w:highlight w:val="none"/>
        </w:rPr>
        <w:t>，并且呈较强酸性。由于磷石膏生产β半水石膏的煅烧温度不高，煅烧过程中不能彻底分解磷石膏中的有害物质，因此煅烧前磷石膏需要经过水洗、分级和石灰中和等工艺，而水洗产生的废水无害化处理也较为困难，故磷石膏处理成本较高。如果采用未经无害化处理或处理程度低的磷石膏制备的半水石膏为原料来生产抹灰石膏，在生产和应用过程中，可能会对人体、生物与周围环境造成危害。因此为了保证居住环境的安全健康，基于国内目前的生产水平考虑，对复合板内保温系统必须使用使用的纸面石膏板、粘结石膏和嵌缝石膏三种石膏级产品，严禁使用磷石膏。</w:t>
      </w:r>
    </w:p>
    <w:p>
      <w:pPr>
        <w:spacing w:line="360" w:lineRule="auto"/>
        <w:outlineLvl w:val="2"/>
        <w:rPr>
          <w:rFonts w:hint="eastAsia" w:hAnsi="宋体" w:eastAsia="宋体"/>
          <w:color w:val="auto"/>
          <w:sz w:val="24"/>
          <w:highlight w:val="none"/>
          <w:lang w:eastAsia="zh-CN"/>
        </w:rPr>
      </w:pPr>
      <w:r>
        <w:rPr>
          <w:rFonts w:hint="eastAsia" w:hAnsi="宋体"/>
          <w:color w:val="auto"/>
          <w:sz w:val="24"/>
          <w:highlight w:val="none"/>
        </w:rPr>
        <w:t>4.1.4 建筑内保温系统采用的有机保温板不得使用再生料，不得</w:t>
      </w:r>
      <w:r>
        <w:rPr>
          <w:rFonts w:hint="eastAsia" w:hAnsi="宋体"/>
          <w:color w:val="auto"/>
          <w:sz w:val="24"/>
          <w:highlight w:val="none"/>
          <w:lang w:val="en-US" w:eastAsia="zh-CN"/>
        </w:rPr>
        <w:t>使用</w:t>
      </w:r>
      <w:r>
        <w:rPr>
          <w:rFonts w:hint="eastAsia" w:hAnsi="宋体"/>
          <w:color w:val="auto"/>
          <w:sz w:val="24"/>
          <w:highlight w:val="none"/>
        </w:rPr>
        <w:t>国家禁止使用的材料、产品</w:t>
      </w:r>
      <w:r>
        <w:rPr>
          <w:rFonts w:hint="eastAsia" w:hAnsi="宋体"/>
          <w:color w:val="auto"/>
          <w:sz w:val="24"/>
          <w:highlight w:val="none"/>
          <w:lang w:eastAsia="zh-CN"/>
        </w:rPr>
        <w:t>。</w:t>
      </w:r>
    </w:p>
    <w:p>
      <w:pPr>
        <w:spacing w:line="360" w:lineRule="auto"/>
        <w:rPr>
          <w:rFonts w:ascii="方正楷体_GBK" w:hAnsi="方正楷体_GBK" w:eastAsia="方正楷体_GBK" w:cs="方正楷体_GBK"/>
          <w:color w:val="auto"/>
          <w:sz w:val="24"/>
          <w:highlight w:val="none"/>
        </w:rPr>
      </w:pPr>
      <w:r>
        <w:rPr>
          <w:rFonts w:hint="eastAsia" w:ascii="方正楷体_GBK" w:hAnsi="方正楷体_GBK" w:eastAsia="方正楷体_GBK" w:cs="方正楷体_GBK"/>
          <w:color w:val="auto"/>
          <w:sz w:val="24"/>
          <w:highlight w:val="none"/>
        </w:rPr>
        <w:t>【条文说明】</w:t>
      </w:r>
      <w:r>
        <w:rPr>
          <w:rFonts w:hint="eastAsia" w:ascii="方正楷体_GBK" w:hAnsi="方正楷体_GBK" w:eastAsia="方正楷体_GBK" w:cs="方正楷体_GBK"/>
          <w:color w:val="auto"/>
          <w:sz w:val="24"/>
          <w:highlight w:val="none"/>
          <w:lang w:val="en-US" w:eastAsia="zh-CN"/>
        </w:rPr>
        <w:t>4.1.4</w:t>
      </w:r>
      <w:r>
        <w:rPr>
          <w:rFonts w:hint="eastAsia" w:ascii="方正楷体_GBK" w:hAnsi="方正楷体_GBK" w:eastAsia="方正楷体_GBK" w:cs="方正楷体_GBK"/>
          <w:color w:val="auto"/>
          <w:sz w:val="24"/>
          <w:highlight w:val="none"/>
        </w:rPr>
        <w:t>再生料的使用会对有机保温板的导热系数、强度、尺寸稳定性等指标产生不利影响。对于XPS和EPS保温材料，六溴环十二烷（简称HBCD）是一种高溴含量的脂环族添加型阻燃剂，由于其具有高毒性、持久性、生物积累性以及远距离迁移性，2013年5月被联合国《关于持久性有机污染物的斯德哥尔摩公约》要求在全球范围内禁用。2016年7月，中国全国人大批准了《〈关于持久性有机污染物的斯德哥尔摩公约〉新增列六溴环十二烷修正案》，自2016年12月26日起禁止HBCD的生产、使用和进出口。由于缺乏合适的替代品，用于建筑物保温材料XPS和EPS阻燃剂的HBCD获得了5年豁免期，豁免期将于2021年12月25日终止，自2021年12月25日全面停止使用HBCD。</w:t>
      </w:r>
      <w:r>
        <w:rPr>
          <w:rFonts w:hint="eastAsia" w:ascii="方正楷体_GBK" w:hAnsi="方正楷体_GBK" w:eastAsia="方正楷体_GBK" w:cs="方正楷体_GBK"/>
          <w:color w:val="auto"/>
          <w:sz w:val="24"/>
          <w:highlight w:val="none"/>
          <w:lang w:val="en-US" w:eastAsia="zh-CN"/>
        </w:rPr>
        <w:t>要求</w:t>
      </w:r>
      <w:r>
        <w:rPr>
          <w:rFonts w:hint="eastAsia" w:ascii="方正楷体_GBK" w:hAnsi="方正楷体_GBK" w:eastAsia="方正楷体_GBK" w:cs="方正楷体_GBK"/>
          <w:color w:val="auto"/>
          <w:sz w:val="24"/>
          <w:highlight w:val="none"/>
        </w:rPr>
        <w:t>建筑内保温系统采用的有机保温板不得使用再生料</w:t>
      </w:r>
      <w:r>
        <w:rPr>
          <w:rFonts w:hint="eastAsia" w:ascii="方正楷体_GBK" w:hAnsi="方正楷体_GBK" w:eastAsia="方正楷体_GBK" w:cs="方正楷体_GBK"/>
          <w:color w:val="auto"/>
          <w:sz w:val="24"/>
          <w:highlight w:val="none"/>
          <w:lang w:eastAsia="zh-CN"/>
        </w:rPr>
        <w:t>，不得含有国家禁止使用的材料、产品，</w:t>
      </w:r>
      <w:r>
        <w:rPr>
          <w:rFonts w:hint="eastAsia" w:ascii="方正楷体_GBK" w:hAnsi="方正楷体_GBK" w:eastAsia="方正楷体_GBK" w:cs="方正楷体_GBK"/>
          <w:color w:val="auto"/>
          <w:sz w:val="24"/>
          <w:highlight w:val="none"/>
          <w:lang w:val="en-US" w:eastAsia="zh-CN"/>
        </w:rPr>
        <w:t>不</w:t>
      </w:r>
      <w:r>
        <w:rPr>
          <w:rFonts w:hint="eastAsia" w:ascii="方正楷体_GBK" w:hAnsi="方正楷体_GBK" w:eastAsia="方正楷体_GBK" w:cs="方正楷体_GBK"/>
          <w:color w:val="auto"/>
          <w:sz w:val="24"/>
          <w:highlight w:val="none"/>
        </w:rPr>
        <w:t>应含有国家明令禁止的有毒有害成分。</w:t>
      </w:r>
    </w:p>
    <w:p>
      <w:pPr>
        <w:spacing w:line="500" w:lineRule="exact"/>
        <w:jc w:val="center"/>
        <w:rPr>
          <w:rFonts w:eastAsia="黑体"/>
          <w:color w:val="auto"/>
          <w:sz w:val="24"/>
          <w:highlight w:val="none"/>
        </w:rPr>
      </w:pPr>
    </w:p>
    <w:p>
      <w:pPr>
        <w:rPr>
          <w:rFonts w:eastAsia="黑体"/>
          <w:color w:val="auto"/>
          <w:sz w:val="24"/>
          <w:highlight w:val="none"/>
        </w:rPr>
      </w:pPr>
      <w:bookmarkStart w:id="149" w:name="_Toc20353"/>
      <w:r>
        <w:rPr>
          <w:rFonts w:hint="eastAsia" w:eastAsia="黑体"/>
          <w:color w:val="auto"/>
          <w:sz w:val="24"/>
          <w:highlight w:val="none"/>
        </w:rPr>
        <w:br w:type="page"/>
      </w:r>
    </w:p>
    <w:p>
      <w:pPr>
        <w:pStyle w:val="5"/>
        <w:bidi w:val="0"/>
        <w:rPr>
          <w:color w:val="auto"/>
          <w:highlight w:val="none"/>
        </w:rPr>
      </w:pPr>
      <w:bookmarkStart w:id="150" w:name="_Toc12229"/>
      <w:bookmarkStart w:id="151" w:name="_Toc7156"/>
      <w:bookmarkStart w:id="152" w:name="_Toc18947"/>
      <w:bookmarkStart w:id="153" w:name="_Toc21475"/>
      <w:bookmarkStart w:id="154" w:name="_Toc6607"/>
      <w:r>
        <w:rPr>
          <w:rFonts w:hint="eastAsia"/>
          <w:color w:val="auto"/>
          <w:highlight w:val="none"/>
        </w:rPr>
        <w:t>4.2 系统性能</w:t>
      </w:r>
      <w:bookmarkEnd w:id="146"/>
      <w:bookmarkEnd w:id="149"/>
      <w:bookmarkEnd w:id="150"/>
      <w:bookmarkEnd w:id="151"/>
      <w:bookmarkEnd w:id="152"/>
      <w:bookmarkEnd w:id="153"/>
      <w:r>
        <w:rPr>
          <w:rFonts w:hint="eastAsia"/>
          <w:color w:val="auto"/>
          <w:highlight w:val="none"/>
        </w:rPr>
        <w:t>要求</w:t>
      </w:r>
      <w:bookmarkEnd w:id="154"/>
    </w:p>
    <w:p>
      <w:pPr>
        <w:rPr>
          <w:color w:val="auto"/>
          <w:highlight w:val="none"/>
        </w:rPr>
      </w:pPr>
    </w:p>
    <w:bookmarkEnd w:id="147"/>
    <w:bookmarkEnd w:id="148"/>
    <w:p>
      <w:pPr>
        <w:spacing w:line="360" w:lineRule="auto"/>
        <w:outlineLvl w:val="2"/>
        <w:rPr>
          <w:color w:val="auto"/>
          <w:sz w:val="24"/>
          <w:highlight w:val="none"/>
        </w:rPr>
      </w:pPr>
      <w:r>
        <w:rPr>
          <w:rFonts w:hint="eastAsia"/>
          <w:b/>
          <w:color w:val="auto"/>
          <w:sz w:val="24"/>
          <w:highlight w:val="none"/>
        </w:rPr>
        <w:t>4.2</w:t>
      </w:r>
      <w:r>
        <w:rPr>
          <w:b/>
          <w:color w:val="auto"/>
          <w:sz w:val="24"/>
          <w:highlight w:val="none"/>
        </w:rPr>
        <w:t xml:space="preserve">.1 </w:t>
      </w:r>
      <w:r>
        <w:rPr>
          <w:rFonts w:hint="eastAsia" w:hAnsi="宋体"/>
          <w:color w:val="auto"/>
          <w:sz w:val="24"/>
          <w:highlight w:val="none"/>
        </w:rPr>
        <w:t>建筑内保温复合板系统的性能应符合表</w:t>
      </w:r>
      <w:r>
        <w:rPr>
          <w:rFonts w:hint="eastAsia"/>
          <w:color w:val="auto"/>
          <w:sz w:val="24"/>
          <w:highlight w:val="none"/>
          <w:lang w:val="en-US" w:eastAsia="zh-CN"/>
        </w:rPr>
        <w:t>4.2.1</w:t>
      </w:r>
      <w:r>
        <w:rPr>
          <w:rFonts w:hint="eastAsia" w:hAnsi="宋体"/>
          <w:color w:val="auto"/>
          <w:sz w:val="24"/>
          <w:highlight w:val="none"/>
        </w:rPr>
        <w:t>的规定。</w:t>
      </w:r>
    </w:p>
    <w:p>
      <w:pPr>
        <w:tabs>
          <w:tab w:val="left" w:pos="2833"/>
        </w:tabs>
        <w:spacing w:before="156" w:beforeLines="50"/>
        <w:jc w:val="center"/>
        <w:rPr>
          <w:b/>
          <w:bCs/>
          <w:color w:val="auto"/>
          <w:szCs w:val="21"/>
          <w:highlight w:val="none"/>
        </w:rPr>
      </w:pPr>
      <w:r>
        <w:rPr>
          <w:rFonts w:hint="eastAsia" w:hAnsi="宋体"/>
          <w:b/>
          <w:bCs/>
          <w:color w:val="auto"/>
          <w:szCs w:val="21"/>
          <w:highlight w:val="none"/>
        </w:rPr>
        <w:t>表</w:t>
      </w:r>
      <w:r>
        <w:rPr>
          <w:rFonts w:hint="eastAsia" w:eastAsia="黑体"/>
          <w:b/>
          <w:bCs/>
          <w:color w:val="auto"/>
          <w:szCs w:val="21"/>
          <w:highlight w:val="none"/>
          <w:lang w:val="en-US" w:eastAsia="zh-CN"/>
        </w:rPr>
        <w:t>4.2.1</w:t>
      </w:r>
      <w:r>
        <w:rPr>
          <w:rFonts w:eastAsia="黑体"/>
          <w:b/>
          <w:bCs/>
          <w:color w:val="auto"/>
          <w:szCs w:val="21"/>
          <w:highlight w:val="none"/>
        </w:rPr>
        <w:t>建筑</w:t>
      </w:r>
      <w:r>
        <w:rPr>
          <w:rFonts w:hint="eastAsia" w:hAnsi="宋体"/>
          <w:b/>
          <w:bCs/>
          <w:color w:val="auto"/>
          <w:szCs w:val="21"/>
          <w:highlight w:val="none"/>
        </w:rPr>
        <w:t>内保温复合板系统性能指标</w:t>
      </w:r>
    </w:p>
    <w:tbl>
      <w:tblPr>
        <w:tblStyle w:val="24"/>
        <w:tblW w:w="978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269"/>
        <w:gridCol w:w="1559"/>
        <w:gridCol w:w="16"/>
        <w:gridCol w:w="2110"/>
        <w:gridCol w:w="2552"/>
        <w:gridCol w:w="12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2269" w:type="dxa"/>
            <w:vMerge w:val="restart"/>
            <w:vAlign w:val="center"/>
          </w:tcPr>
          <w:p>
            <w:pPr>
              <w:spacing w:before="100" w:after="100"/>
              <w:jc w:val="center"/>
              <w:rPr>
                <w:color w:val="auto"/>
                <w:szCs w:val="21"/>
                <w:highlight w:val="none"/>
              </w:rPr>
            </w:pPr>
            <w:r>
              <w:rPr>
                <w:rFonts w:hint="eastAsia" w:hAnsi="宋体"/>
                <w:color w:val="auto"/>
                <w:szCs w:val="21"/>
                <w:highlight w:val="none"/>
              </w:rPr>
              <w:t>项目</w:t>
            </w:r>
          </w:p>
        </w:tc>
        <w:tc>
          <w:tcPr>
            <w:tcW w:w="6237" w:type="dxa"/>
            <w:gridSpan w:val="4"/>
            <w:vAlign w:val="center"/>
          </w:tcPr>
          <w:p>
            <w:pPr>
              <w:spacing w:before="100" w:after="100"/>
              <w:jc w:val="center"/>
              <w:rPr>
                <w:color w:val="auto"/>
                <w:szCs w:val="21"/>
                <w:highlight w:val="none"/>
              </w:rPr>
            </w:pPr>
            <w:r>
              <w:rPr>
                <w:rFonts w:hint="eastAsia" w:hAnsi="宋体"/>
                <w:color w:val="auto"/>
                <w:szCs w:val="21"/>
                <w:highlight w:val="none"/>
              </w:rPr>
              <w:t>性能指标</w:t>
            </w:r>
          </w:p>
        </w:tc>
        <w:tc>
          <w:tcPr>
            <w:tcW w:w="1276" w:type="dxa"/>
            <w:vMerge w:val="restart"/>
            <w:vAlign w:val="center"/>
          </w:tcPr>
          <w:p>
            <w:pPr>
              <w:spacing w:before="100" w:after="100"/>
              <w:jc w:val="center"/>
              <w:rPr>
                <w:color w:val="auto"/>
                <w:szCs w:val="21"/>
                <w:highlight w:val="none"/>
              </w:rPr>
            </w:pPr>
            <w:r>
              <w:rPr>
                <w:rFonts w:hint="eastAsia" w:hAnsi="宋体"/>
                <w:color w:val="auto"/>
                <w:szCs w:val="21"/>
                <w:highlight w:val="none"/>
              </w:rPr>
              <w:t>试验方法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2269" w:type="dxa"/>
            <w:vMerge w:val="continue"/>
            <w:vAlign w:val="center"/>
          </w:tcPr>
          <w:p>
            <w:pPr>
              <w:spacing w:before="100" w:after="100"/>
              <w:jc w:val="center"/>
              <w:rPr>
                <w:color w:val="auto"/>
                <w:szCs w:val="21"/>
                <w:highlight w:val="none"/>
              </w:rPr>
            </w:pPr>
          </w:p>
        </w:tc>
        <w:tc>
          <w:tcPr>
            <w:tcW w:w="1559" w:type="dxa"/>
            <w:vAlign w:val="center"/>
          </w:tcPr>
          <w:p>
            <w:pPr>
              <w:spacing w:before="100" w:after="100"/>
              <w:jc w:val="center"/>
              <w:rPr>
                <w:color w:val="auto"/>
                <w:szCs w:val="21"/>
                <w:highlight w:val="none"/>
              </w:rPr>
            </w:pPr>
            <w:r>
              <w:rPr>
                <w:rFonts w:hint="eastAsia"/>
                <w:color w:val="auto"/>
                <w:szCs w:val="21"/>
                <w:highlight w:val="none"/>
              </w:rPr>
              <w:t>纸面石膏面层</w:t>
            </w:r>
          </w:p>
        </w:tc>
        <w:tc>
          <w:tcPr>
            <w:tcW w:w="2126" w:type="dxa"/>
            <w:gridSpan w:val="2"/>
            <w:vAlign w:val="center"/>
          </w:tcPr>
          <w:p>
            <w:pPr>
              <w:spacing w:before="100" w:after="100"/>
              <w:jc w:val="center"/>
              <w:rPr>
                <w:color w:val="auto"/>
                <w:szCs w:val="21"/>
                <w:highlight w:val="none"/>
              </w:rPr>
            </w:pPr>
            <w:r>
              <w:rPr>
                <w:rFonts w:hint="eastAsia" w:hAnsi="宋体"/>
                <w:color w:val="auto"/>
                <w:szCs w:val="21"/>
                <w:highlight w:val="none"/>
              </w:rPr>
              <w:t>无石棉硅酸钙板面层</w:t>
            </w:r>
          </w:p>
        </w:tc>
        <w:tc>
          <w:tcPr>
            <w:tcW w:w="2552" w:type="dxa"/>
            <w:vAlign w:val="center"/>
          </w:tcPr>
          <w:p>
            <w:pPr>
              <w:spacing w:before="100" w:after="100"/>
              <w:jc w:val="center"/>
              <w:rPr>
                <w:color w:val="auto"/>
                <w:szCs w:val="21"/>
                <w:highlight w:val="none"/>
              </w:rPr>
            </w:pPr>
            <w:r>
              <w:rPr>
                <w:rFonts w:hint="eastAsia" w:hAnsi="宋体"/>
                <w:color w:val="auto"/>
                <w:szCs w:val="21"/>
                <w:highlight w:val="none"/>
              </w:rPr>
              <w:t>无石棉纤维水泥平板面层</w:t>
            </w:r>
          </w:p>
        </w:tc>
        <w:tc>
          <w:tcPr>
            <w:tcW w:w="1276" w:type="dxa"/>
            <w:vMerge w:val="continue"/>
            <w:vAlign w:val="center"/>
          </w:tcPr>
          <w:p>
            <w:pPr>
              <w:spacing w:before="100" w:after="100"/>
              <w:jc w:val="center"/>
              <w:rPr>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2269" w:type="dxa"/>
            <w:vAlign w:val="center"/>
          </w:tcPr>
          <w:p>
            <w:pPr>
              <w:spacing w:before="100" w:after="100"/>
              <w:jc w:val="center"/>
              <w:rPr>
                <w:color w:val="auto"/>
                <w:szCs w:val="21"/>
                <w:highlight w:val="none"/>
              </w:rPr>
            </w:pPr>
            <w:r>
              <w:rPr>
                <w:rFonts w:hint="eastAsia" w:hAnsi="宋体"/>
                <w:color w:val="auto"/>
                <w:szCs w:val="21"/>
                <w:highlight w:val="none"/>
              </w:rPr>
              <w:t>耐久性</w:t>
            </w:r>
          </w:p>
        </w:tc>
        <w:tc>
          <w:tcPr>
            <w:tcW w:w="6237" w:type="dxa"/>
            <w:gridSpan w:val="4"/>
            <w:vAlign w:val="center"/>
          </w:tcPr>
          <w:p>
            <w:pPr>
              <w:spacing w:before="100" w:after="100"/>
              <w:jc w:val="center"/>
              <w:rPr>
                <w:color w:val="auto"/>
                <w:szCs w:val="21"/>
                <w:highlight w:val="none"/>
              </w:rPr>
            </w:pPr>
            <w:r>
              <w:rPr>
                <w:rFonts w:hint="eastAsia" w:hAnsi="宋体"/>
                <w:color w:val="auto"/>
                <w:szCs w:val="21"/>
                <w:highlight w:val="none"/>
              </w:rPr>
              <w:t>无可见裂缝、剥落现象</w:t>
            </w:r>
          </w:p>
        </w:tc>
        <w:tc>
          <w:tcPr>
            <w:tcW w:w="1276" w:type="dxa"/>
            <w:vAlign w:val="center"/>
          </w:tcPr>
          <w:p>
            <w:pPr>
              <w:spacing w:before="100" w:after="100"/>
              <w:jc w:val="center"/>
              <w:rPr>
                <w:color w:val="auto"/>
                <w:szCs w:val="21"/>
                <w:highlight w:val="none"/>
              </w:rPr>
            </w:pPr>
            <w:r>
              <w:rPr>
                <w:color w:val="auto"/>
                <w:szCs w:val="21"/>
                <w:highlight w:val="none"/>
              </w:rPr>
              <w:t>GB/T 30593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5" w:hRule="atLeast"/>
          <w:jc w:val="center"/>
        </w:trPr>
        <w:tc>
          <w:tcPr>
            <w:tcW w:w="2269" w:type="dxa"/>
            <w:vAlign w:val="center"/>
          </w:tcPr>
          <w:p>
            <w:pPr>
              <w:spacing w:before="100" w:after="100"/>
              <w:jc w:val="center"/>
              <w:rPr>
                <w:color w:val="auto"/>
                <w:szCs w:val="21"/>
                <w:highlight w:val="none"/>
              </w:rPr>
            </w:pPr>
            <w:r>
              <w:rPr>
                <w:rFonts w:hint="eastAsia"/>
                <w:color w:val="auto"/>
                <w:szCs w:val="21"/>
                <w:highlight w:val="none"/>
              </w:rPr>
              <w:t>系统拉伸粘结强度</w:t>
            </w:r>
            <w:r>
              <w:rPr>
                <w:rFonts w:hint="eastAsia"/>
                <w:color w:val="auto"/>
                <w:szCs w:val="21"/>
                <w:highlight w:val="none"/>
                <w:lang w:eastAsia="zh-CN"/>
              </w:rPr>
              <w:t>（</w:t>
            </w:r>
            <w:r>
              <w:rPr>
                <w:color w:val="auto"/>
                <w:szCs w:val="21"/>
                <w:highlight w:val="none"/>
              </w:rPr>
              <w:t>MPa</w:t>
            </w:r>
            <w:r>
              <w:rPr>
                <w:rFonts w:hint="eastAsia"/>
                <w:color w:val="auto"/>
                <w:szCs w:val="21"/>
                <w:highlight w:val="none"/>
                <w:lang w:eastAsia="zh-CN"/>
              </w:rPr>
              <w:t>）</w:t>
            </w:r>
          </w:p>
        </w:tc>
        <w:tc>
          <w:tcPr>
            <w:tcW w:w="1575" w:type="dxa"/>
            <w:gridSpan w:val="2"/>
            <w:tcBorders>
              <w:right w:val="single" w:color="auto" w:sz="4" w:space="0"/>
            </w:tcBorders>
            <w:vAlign w:val="center"/>
          </w:tcPr>
          <w:p>
            <w:pPr>
              <w:spacing w:before="100" w:after="100"/>
              <w:jc w:val="center"/>
              <w:rPr>
                <w:color w:val="auto"/>
                <w:szCs w:val="21"/>
                <w:highlight w:val="none"/>
              </w:rPr>
            </w:pPr>
            <w:r>
              <w:rPr>
                <w:color w:val="auto"/>
                <w:szCs w:val="21"/>
                <w:highlight w:val="none"/>
              </w:rPr>
              <w:t>≥0.035</w:t>
            </w:r>
          </w:p>
        </w:tc>
        <w:tc>
          <w:tcPr>
            <w:tcW w:w="4662" w:type="dxa"/>
            <w:gridSpan w:val="2"/>
            <w:tcBorders>
              <w:left w:val="single" w:color="auto" w:sz="4" w:space="0"/>
            </w:tcBorders>
            <w:vAlign w:val="center"/>
          </w:tcPr>
          <w:p>
            <w:pPr>
              <w:spacing w:before="100" w:after="100"/>
              <w:jc w:val="center"/>
              <w:rPr>
                <w:color w:val="auto"/>
                <w:szCs w:val="21"/>
                <w:highlight w:val="none"/>
              </w:rPr>
            </w:pPr>
            <w:r>
              <w:rPr>
                <w:color w:val="auto"/>
                <w:szCs w:val="21"/>
                <w:highlight w:val="none"/>
              </w:rPr>
              <w:t>≥0.10</w:t>
            </w:r>
          </w:p>
        </w:tc>
        <w:tc>
          <w:tcPr>
            <w:tcW w:w="1276" w:type="dxa"/>
            <w:vAlign w:val="center"/>
          </w:tcPr>
          <w:p>
            <w:pPr>
              <w:spacing w:before="100" w:after="100"/>
              <w:jc w:val="center"/>
              <w:rPr>
                <w:color w:val="auto"/>
                <w:szCs w:val="21"/>
                <w:highlight w:val="none"/>
              </w:rPr>
            </w:pPr>
            <w:r>
              <w:rPr>
                <w:color w:val="auto"/>
                <w:szCs w:val="21"/>
                <w:highlight w:val="none"/>
              </w:rPr>
              <w:t>GB/T 30593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5" w:hRule="atLeast"/>
          <w:jc w:val="center"/>
        </w:trPr>
        <w:tc>
          <w:tcPr>
            <w:tcW w:w="2269" w:type="dxa"/>
            <w:vAlign w:val="center"/>
          </w:tcPr>
          <w:p>
            <w:pPr>
              <w:spacing w:before="100" w:after="100"/>
              <w:jc w:val="center"/>
              <w:rPr>
                <w:rFonts w:hint="eastAsia"/>
                <w:color w:val="auto"/>
                <w:szCs w:val="21"/>
                <w:highlight w:val="none"/>
              </w:rPr>
            </w:pPr>
            <w:r>
              <w:rPr>
                <w:rFonts w:hint="eastAsia"/>
                <w:color w:val="auto"/>
                <w:szCs w:val="21"/>
                <w:highlight w:val="none"/>
              </w:rPr>
              <w:t>抗冲击性</w:t>
            </w:r>
          </w:p>
          <w:p>
            <w:pPr>
              <w:spacing w:before="100" w:after="100"/>
              <w:jc w:val="center"/>
              <w:rPr>
                <w:rFonts w:hint="eastAsia"/>
                <w:color w:val="auto"/>
                <w:szCs w:val="21"/>
                <w:highlight w:val="none"/>
              </w:rPr>
            </w:pPr>
            <w:r>
              <w:rPr>
                <w:rFonts w:hint="eastAsia"/>
                <w:color w:val="auto"/>
                <w:szCs w:val="21"/>
                <w:highlight w:val="none"/>
                <w:lang w:eastAsia="zh-CN"/>
              </w:rPr>
              <w:t>（</w:t>
            </w:r>
            <w:r>
              <w:rPr>
                <w:rFonts w:hint="eastAsia"/>
                <w:color w:val="auto"/>
                <w:szCs w:val="21"/>
                <w:highlight w:val="none"/>
              </w:rPr>
              <w:t>次</w:t>
            </w:r>
            <w:r>
              <w:rPr>
                <w:rFonts w:hint="eastAsia"/>
                <w:color w:val="auto"/>
                <w:szCs w:val="21"/>
                <w:highlight w:val="none"/>
                <w:lang w:eastAsia="zh-CN"/>
              </w:rPr>
              <w:t>）</w:t>
            </w:r>
          </w:p>
        </w:tc>
        <w:tc>
          <w:tcPr>
            <w:tcW w:w="6237" w:type="dxa"/>
            <w:gridSpan w:val="4"/>
            <w:vAlign w:val="center"/>
          </w:tcPr>
          <w:p>
            <w:pPr>
              <w:spacing w:before="100" w:after="100"/>
              <w:jc w:val="center"/>
              <w:rPr>
                <w:color w:val="auto"/>
                <w:szCs w:val="21"/>
                <w:highlight w:val="none"/>
              </w:rPr>
            </w:pPr>
            <w:r>
              <w:rPr>
                <w:color w:val="auto"/>
                <w:szCs w:val="21"/>
                <w:highlight w:val="none"/>
              </w:rPr>
              <w:t>≥10</w:t>
            </w:r>
          </w:p>
        </w:tc>
        <w:tc>
          <w:tcPr>
            <w:tcW w:w="1276" w:type="dxa"/>
            <w:vAlign w:val="center"/>
          </w:tcPr>
          <w:p>
            <w:pPr>
              <w:spacing w:before="100" w:after="100"/>
              <w:jc w:val="center"/>
              <w:rPr>
                <w:color w:val="auto"/>
                <w:szCs w:val="21"/>
                <w:highlight w:val="none"/>
              </w:rPr>
            </w:pPr>
            <w:r>
              <w:rPr>
                <w:color w:val="auto"/>
                <w:szCs w:val="21"/>
                <w:highlight w:val="none"/>
              </w:rPr>
              <w:t>GB/T 30593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2269" w:type="dxa"/>
            <w:vAlign w:val="center"/>
          </w:tcPr>
          <w:p>
            <w:pPr>
              <w:spacing w:before="100" w:after="100"/>
              <w:jc w:val="center"/>
              <w:rPr>
                <w:color w:val="auto"/>
                <w:szCs w:val="21"/>
                <w:highlight w:val="none"/>
              </w:rPr>
            </w:pPr>
            <w:r>
              <w:rPr>
                <w:rFonts w:hint="eastAsia"/>
                <w:color w:val="auto"/>
                <w:szCs w:val="21"/>
                <w:highlight w:val="none"/>
              </w:rPr>
              <w:t>吸水量</w:t>
            </w:r>
            <w:r>
              <w:rPr>
                <w:color w:val="auto"/>
                <w:szCs w:val="21"/>
                <w:highlight w:val="none"/>
              </w:rPr>
              <w:t>*</w:t>
            </w:r>
          </w:p>
          <w:p>
            <w:pPr>
              <w:spacing w:before="100" w:after="100"/>
              <w:jc w:val="center"/>
              <w:rPr>
                <w:color w:val="auto"/>
                <w:szCs w:val="21"/>
                <w:highlight w:val="none"/>
              </w:rPr>
            </w:pPr>
            <w:r>
              <w:rPr>
                <w:color w:val="auto"/>
                <w:szCs w:val="21"/>
                <w:highlight w:val="none"/>
              </w:rPr>
              <w:t>(kg/m</w:t>
            </w:r>
            <w:r>
              <w:rPr>
                <w:color w:val="auto"/>
                <w:szCs w:val="21"/>
                <w:highlight w:val="none"/>
                <w:vertAlign w:val="superscript"/>
              </w:rPr>
              <w:t>2</w:t>
            </w:r>
            <w:r>
              <w:rPr>
                <w:color w:val="auto"/>
                <w:szCs w:val="21"/>
                <w:highlight w:val="none"/>
              </w:rPr>
              <w:t>)</w:t>
            </w:r>
          </w:p>
        </w:tc>
        <w:tc>
          <w:tcPr>
            <w:tcW w:w="6237" w:type="dxa"/>
            <w:gridSpan w:val="4"/>
            <w:vAlign w:val="center"/>
          </w:tcPr>
          <w:p>
            <w:pPr>
              <w:spacing w:before="100" w:after="100"/>
              <w:jc w:val="center"/>
              <w:rPr>
                <w:color w:val="auto"/>
                <w:szCs w:val="21"/>
                <w:highlight w:val="none"/>
              </w:rPr>
            </w:pPr>
            <w:r>
              <w:rPr>
                <w:rFonts w:hint="eastAsia"/>
                <w:color w:val="auto"/>
                <w:szCs w:val="21"/>
                <w:highlight w:val="none"/>
              </w:rPr>
              <w:t>系统在水中浸泡</w:t>
            </w:r>
            <w:r>
              <w:rPr>
                <w:color w:val="auto"/>
                <w:szCs w:val="21"/>
                <w:highlight w:val="none"/>
              </w:rPr>
              <w:t>1h</w:t>
            </w:r>
            <w:r>
              <w:rPr>
                <w:rFonts w:hint="eastAsia"/>
                <w:color w:val="auto"/>
                <w:szCs w:val="21"/>
                <w:highlight w:val="none"/>
              </w:rPr>
              <w:t>后的吸水量不大于</w:t>
            </w:r>
            <w:r>
              <w:rPr>
                <w:color w:val="auto"/>
                <w:szCs w:val="21"/>
                <w:highlight w:val="none"/>
              </w:rPr>
              <w:t>1.0</w:t>
            </w:r>
          </w:p>
        </w:tc>
        <w:tc>
          <w:tcPr>
            <w:tcW w:w="1276" w:type="dxa"/>
            <w:vAlign w:val="center"/>
          </w:tcPr>
          <w:p>
            <w:pPr>
              <w:spacing w:before="100" w:after="100"/>
              <w:jc w:val="center"/>
              <w:rPr>
                <w:color w:val="auto"/>
                <w:szCs w:val="21"/>
                <w:highlight w:val="none"/>
              </w:rPr>
            </w:pPr>
            <w:r>
              <w:rPr>
                <w:color w:val="auto"/>
                <w:szCs w:val="21"/>
                <w:highlight w:val="none"/>
              </w:rPr>
              <w:t>JGJ 144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2269" w:type="dxa"/>
            <w:vAlign w:val="center"/>
          </w:tcPr>
          <w:p>
            <w:pPr>
              <w:spacing w:before="100" w:after="100"/>
              <w:jc w:val="center"/>
              <w:rPr>
                <w:color w:val="auto"/>
                <w:szCs w:val="21"/>
                <w:highlight w:val="none"/>
              </w:rPr>
            </w:pPr>
            <w:r>
              <w:rPr>
                <w:rFonts w:cs="Times New Roman"/>
                <w:color w:val="auto"/>
                <w:kern w:val="0"/>
                <w:szCs w:val="21"/>
                <w:highlight w:val="none"/>
              </w:rPr>
              <w:t>导热系数</w:t>
            </w:r>
            <w:r>
              <w:rPr>
                <w:rFonts w:hint="eastAsia" w:cs="Times New Roman"/>
                <w:color w:val="auto"/>
                <w:kern w:val="0"/>
                <w:szCs w:val="21"/>
                <w:highlight w:val="none"/>
                <w:lang w:val="en-US" w:eastAsia="zh-CN"/>
              </w:rPr>
              <w:t>[</w:t>
            </w:r>
            <w:r>
              <w:rPr>
                <w:rFonts w:cs="Times New Roman"/>
                <w:color w:val="auto"/>
                <w:kern w:val="0"/>
                <w:szCs w:val="21"/>
                <w:highlight w:val="none"/>
              </w:rPr>
              <w:t>W/(m·K)</w:t>
            </w:r>
            <w:r>
              <w:rPr>
                <w:rFonts w:hint="eastAsia" w:cs="Times New Roman"/>
                <w:color w:val="auto"/>
                <w:kern w:val="0"/>
                <w:szCs w:val="21"/>
                <w:highlight w:val="none"/>
                <w:lang w:val="en-US" w:eastAsia="zh-CN"/>
              </w:rPr>
              <w:t>]</w:t>
            </w:r>
          </w:p>
        </w:tc>
        <w:tc>
          <w:tcPr>
            <w:tcW w:w="6237" w:type="dxa"/>
            <w:gridSpan w:val="4"/>
            <w:vAlign w:val="center"/>
          </w:tcPr>
          <w:p>
            <w:pPr>
              <w:spacing w:before="100" w:after="100"/>
              <w:jc w:val="center"/>
              <w:rPr>
                <w:color w:val="auto"/>
                <w:szCs w:val="21"/>
                <w:highlight w:val="none"/>
              </w:rPr>
            </w:pPr>
            <w:r>
              <w:rPr>
                <w:rFonts w:hint="eastAsia"/>
                <w:color w:val="auto"/>
                <w:szCs w:val="21"/>
                <w:highlight w:val="none"/>
              </w:rPr>
              <w:t>应符合设计要求</w:t>
            </w:r>
          </w:p>
        </w:tc>
        <w:tc>
          <w:tcPr>
            <w:tcW w:w="1276" w:type="dxa"/>
            <w:vAlign w:val="center"/>
          </w:tcPr>
          <w:p>
            <w:pPr>
              <w:spacing w:before="100" w:after="100"/>
              <w:jc w:val="center"/>
              <w:rPr>
                <w:color w:val="auto"/>
                <w:szCs w:val="21"/>
                <w:highlight w:val="none"/>
              </w:rPr>
            </w:pPr>
            <w:r>
              <w:rPr>
                <w:rFonts w:cs="Times New Roman"/>
                <w:color w:val="auto"/>
                <w:szCs w:val="21"/>
                <w:highlight w:val="none"/>
              </w:rPr>
              <w:t>GB/T 10294</w:t>
            </w:r>
            <w:r>
              <w:rPr>
                <w:rFonts w:hint="eastAsia" w:cs="Times New Roman"/>
                <w:color w:val="auto"/>
                <w:szCs w:val="21"/>
                <w:highlight w:val="none"/>
                <w:lang w:val="en-US" w:eastAsia="zh-CN"/>
              </w:rPr>
              <w:t>或</w:t>
            </w:r>
            <w:r>
              <w:rPr>
                <w:rFonts w:cs="Times New Roman"/>
                <w:color w:val="auto"/>
                <w:szCs w:val="21"/>
                <w:highlight w:val="none"/>
              </w:rPr>
              <w:t>GB/T 1029</w:t>
            </w:r>
            <w:r>
              <w:rPr>
                <w:rFonts w:hint="eastAsia" w:cs="Times New Roman"/>
                <w:color w:val="auto"/>
                <w:szCs w:val="21"/>
                <w:highlight w:val="none"/>
                <w:lang w:val="en-US" w:eastAsia="zh-CN"/>
              </w:rPr>
              <w:t>5</w:t>
            </w:r>
            <w:r>
              <w:rPr>
                <w:color w:val="auto"/>
                <w:szCs w:val="21"/>
                <w:highlight w:val="none"/>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2269" w:type="dxa"/>
            <w:vAlign w:val="center"/>
          </w:tcPr>
          <w:p>
            <w:pPr>
              <w:spacing w:before="100" w:after="100"/>
              <w:jc w:val="center"/>
              <w:rPr>
                <w:color w:val="auto"/>
                <w:szCs w:val="21"/>
                <w:highlight w:val="none"/>
              </w:rPr>
            </w:pPr>
            <w:r>
              <w:rPr>
                <w:rFonts w:hint="eastAsia"/>
                <w:color w:val="auto"/>
                <w:szCs w:val="21"/>
                <w:highlight w:val="none"/>
              </w:rPr>
              <w:t>不透水性</w:t>
            </w:r>
            <w:r>
              <w:rPr>
                <w:color w:val="auto"/>
                <w:szCs w:val="21"/>
                <w:highlight w:val="none"/>
              </w:rPr>
              <w:t>*</w:t>
            </w:r>
          </w:p>
        </w:tc>
        <w:tc>
          <w:tcPr>
            <w:tcW w:w="6237" w:type="dxa"/>
            <w:gridSpan w:val="4"/>
            <w:vAlign w:val="center"/>
          </w:tcPr>
          <w:p>
            <w:pPr>
              <w:spacing w:before="100" w:after="100"/>
              <w:jc w:val="center"/>
              <w:rPr>
                <w:color w:val="auto"/>
                <w:szCs w:val="21"/>
                <w:highlight w:val="none"/>
              </w:rPr>
            </w:pPr>
            <w:r>
              <w:rPr>
                <w:rFonts w:hint="eastAsia"/>
                <w:color w:val="auto"/>
                <w:szCs w:val="21"/>
                <w:highlight w:val="none"/>
              </w:rPr>
              <w:t>面板内侧</w:t>
            </w:r>
            <w:r>
              <w:rPr>
                <w:color w:val="auto"/>
                <w:szCs w:val="21"/>
                <w:highlight w:val="none"/>
              </w:rPr>
              <w:t>2h</w:t>
            </w:r>
            <w:r>
              <w:rPr>
                <w:rFonts w:hint="eastAsia"/>
                <w:color w:val="auto"/>
                <w:szCs w:val="21"/>
                <w:highlight w:val="none"/>
              </w:rPr>
              <w:t>不透水</w:t>
            </w:r>
          </w:p>
        </w:tc>
        <w:tc>
          <w:tcPr>
            <w:tcW w:w="1276" w:type="dxa"/>
            <w:vAlign w:val="center"/>
          </w:tcPr>
          <w:p>
            <w:pPr>
              <w:spacing w:before="100" w:after="100"/>
              <w:jc w:val="center"/>
              <w:rPr>
                <w:color w:val="auto"/>
                <w:szCs w:val="21"/>
                <w:highlight w:val="none"/>
              </w:rPr>
            </w:pPr>
            <w:r>
              <w:rPr>
                <w:color w:val="auto"/>
                <w:szCs w:val="21"/>
                <w:highlight w:val="none"/>
              </w:rPr>
              <w:t>JGJ 144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2269" w:type="dxa"/>
            <w:vAlign w:val="center"/>
          </w:tcPr>
          <w:p>
            <w:pPr>
              <w:spacing w:before="100" w:after="100"/>
              <w:jc w:val="center"/>
              <w:rPr>
                <w:color w:val="auto"/>
                <w:szCs w:val="21"/>
                <w:highlight w:val="none"/>
              </w:rPr>
            </w:pPr>
            <w:r>
              <w:rPr>
                <w:rFonts w:hint="eastAsia"/>
                <w:color w:val="auto"/>
                <w:szCs w:val="21"/>
                <w:highlight w:val="none"/>
              </w:rPr>
              <w:t>防护层水蒸气渗透阻</w:t>
            </w:r>
            <w:r>
              <w:rPr>
                <w:color w:val="auto"/>
                <w:szCs w:val="21"/>
                <w:highlight w:val="none"/>
              </w:rPr>
              <w:t>*</w:t>
            </w:r>
          </w:p>
        </w:tc>
        <w:tc>
          <w:tcPr>
            <w:tcW w:w="6237" w:type="dxa"/>
            <w:gridSpan w:val="4"/>
            <w:vAlign w:val="center"/>
          </w:tcPr>
          <w:p>
            <w:pPr>
              <w:spacing w:before="100" w:after="100"/>
              <w:jc w:val="center"/>
              <w:rPr>
                <w:color w:val="auto"/>
                <w:szCs w:val="21"/>
                <w:highlight w:val="none"/>
              </w:rPr>
            </w:pPr>
            <w:r>
              <w:rPr>
                <w:rFonts w:hint="eastAsia"/>
                <w:color w:val="auto"/>
                <w:szCs w:val="21"/>
                <w:highlight w:val="none"/>
              </w:rPr>
              <w:t>应符合设计要求</w:t>
            </w:r>
          </w:p>
        </w:tc>
        <w:tc>
          <w:tcPr>
            <w:tcW w:w="1276" w:type="dxa"/>
            <w:vAlign w:val="center"/>
          </w:tcPr>
          <w:p>
            <w:pPr>
              <w:spacing w:before="100" w:after="100"/>
              <w:jc w:val="center"/>
              <w:rPr>
                <w:color w:val="auto"/>
                <w:szCs w:val="21"/>
                <w:highlight w:val="none"/>
              </w:rPr>
            </w:pPr>
            <w:r>
              <w:rPr>
                <w:color w:val="auto"/>
                <w:szCs w:val="21"/>
                <w:highlight w:val="none"/>
              </w:rPr>
              <w:t>JGJ 144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2269" w:type="dxa"/>
            <w:vAlign w:val="center"/>
          </w:tcPr>
          <w:p>
            <w:pPr>
              <w:spacing w:before="100" w:after="100"/>
              <w:jc w:val="center"/>
              <w:rPr>
                <w:color w:val="auto"/>
                <w:szCs w:val="21"/>
                <w:highlight w:val="none"/>
              </w:rPr>
            </w:pPr>
            <w:r>
              <w:rPr>
                <w:rFonts w:hint="eastAsia"/>
                <w:color w:val="auto"/>
                <w:szCs w:val="21"/>
                <w:highlight w:val="none"/>
              </w:rPr>
              <w:t>保温材料燃烧性能</w:t>
            </w:r>
          </w:p>
        </w:tc>
        <w:tc>
          <w:tcPr>
            <w:tcW w:w="6237" w:type="dxa"/>
            <w:gridSpan w:val="4"/>
            <w:vAlign w:val="center"/>
          </w:tcPr>
          <w:p>
            <w:pPr>
              <w:spacing w:before="100" w:after="100"/>
              <w:jc w:val="center"/>
              <w:rPr>
                <w:color w:val="auto"/>
                <w:szCs w:val="21"/>
                <w:highlight w:val="none"/>
              </w:rPr>
            </w:pPr>
            <w:r>
              <w:rPr>
                <w:rFonts w:hint="eastAsia"/>
                <w:color w:val="auto"/>
                <w:szCs w:val="21"/>
                <w:highlight w:val="none"/>
              </w:rPr>
              <w:t>不低于B1级</w:t>
            </w:r>
          </w:p>
        </w:tc>
        <w:tc>
          <w:tcPr>
            <w:tcW w:w="1276" w:type="dxa"/>
            <w:vAlign w:val="center"/>
          </w:tcPr>
          <w:p>
            <w:pPr>
              <w:spacing w:before="100" w:after="100"/>
              <w:jc w:val="center"/>
              <w:rPr>
                <w:color w:val="auto"/>
                <w:szCs w:val="21"/>
                <w:highlight w:val="none"/>
              </w:rPr>
            </w:pPr>
            <w:r>
              <w:rPr>
                <w:color w:val="auto"/>
                <w:szCs w:val="21"/>
                <w:highlight w:val="none"/>
              </w:rPr>
              <w:t>GB 8624</w:t>
            </w:r>
          </w:p>
          <w:p>
            <w:pPr>
              <w:spacing w:before="100" w:after="100"/>
              <w:jc w:val="center"/>
              <w:rPr>
                <w:color w:val="auto"/>
                <w:szCs w:val="21"/>
                <w:highlight w:val="none"/>
              </w:rPr>
            </w:pPr>
          </w:p>
        </w:tc>
      </w:tr>
    </w:tbl>
    <w:p>
      <w:pPr>
        <w:adjustRightInd w:val="0"/>
        <w:snapToGrid w:val="0"/>
        <w:jc w:val="left"/>
        <w:rPr>
          <w:color w:val="auto"/>
          <w:szCs w:val="21"/>
          <w:highlight w:val="none"/>
        </w:rPr>
      </w:pPr>
      <w:r>
        <w:rPr>
          <w:rFonts w:hint="eastAsia"/>
          <w:color w:val="auto"/>
          <w:szCs w:val="21"/>
          <w:highlight w:val="none"/>
        </w:rPr>
        <w:t>注：</w:t>
      </w:r>
      <w:r>
        <w:rPr>
          <w:color w:val="auto"/>
          <w:szCs w:val="21"/>
          <w:highlight w:val="none"/>
        </w:rPr>
        <w:t>*</w:t>
      </w:r>
      <w:r>
        <w:rPr>
          <w:rFonts w:hint="eastAsia"/>
          <w:color w:val="auto"/>
          <w:szCs w:val="21"/>
          <w:highlight w:val="none"/>
        </w:rPr>
        <w:t>用于厨房、卫生间等潮湿环境时，要求此指标</w:t>
      </w:r>
    </w:p>
    <w:p>
      <w:pPr>
        <w:spacing w:line="500" w:lineRule="exact"/>
        <w:jc w:val="left"/>
        <w:rPr>
          <w:rFonts w:eastAsia="方正仿宋_GBK"/>
          <w:color w:val="auto"/>
          <w:sz w:val="24"/>
          <w:highlight w:val="none"/>
        </w:rPr>
      </w:pPr>
      <w:r>
        <w:rPr>
          <w:rFonts w:hint="eastAsia" w:eastAsia="方正仿宋_GBK"/>
          <w:color w:val="auto"/>
          <w:sz w:val="24"/>
          <w:highlight w:val="none"/>
        </w:rPr>
        <w:t>【条文说明】</w:t>
      </w:r>
      <w:r>
        <w:rPr>
          <w:rFonts w:hint="eastAsia" w:eastAsia="方正仿宋_GBK"/>
          <w:color w:val="auto"/>
          <w:sz w:val="24"/>
          <w:highlight w:val="none"/>
          <w:lang w:val="en-US" w:eastAsia="zh-CN"/>
        </w:rPr>
        <w:t>4.2.1</w:t>
      </w:r>
      <w:r>
        <w:rPr>
          <w:rFonts w:hint="eastAsia" w:ascii="方正楷体_GBK" w:hAnsi="方正楷体_GBK" w:eastAsia="方正楷体_GBK" w:cs="方正楷体_GBK"/>
          <w:color w:val="auto"/>
          <w:sz w:val="24"/>
          <w:highlight w:val="none"/>
        </w:rPr>
        <w:t>本条主要依据国家现行标准《建筑防火通用规范》GB</w:t>
      </w:r>
      <w:r>
        <w:rPr>
          <w:rFonts w:hint="eastAsia" w:ascii="方正楷体_GBK" w:hAnsi="方正楷体_GBK" w:eastAsia="方正楷体_GBK" w:cs="方正楷体_GBK"/>
          <w:color w:val="auto"/>
          <w:sz w:val="24"/>
          <w:highlight w:val="none"/>
          <w:lang w:val="en-US" w:eastAsia="zh-CN"/>
        </w:rPr>
        <w:t xml:space="preserve"> </w:t>
      </w:r>
      <w:r>
        <w:rPr>
          <w:rFonts w:hint="eastAsia" w:ascii="方正楷体_GBK" w:hAnsi="方正楷体_GBK" w:eastAsia="方正楷体_GBK" w:cs="方正楷体_GBK"/>
          <w:color w:val="auto"/>
          <w:sz w:val="24"/>
          <w:highlight w:val="none"/>
        </w:rPr>
        <w:t>55037、《外墙内保温复合板系统》GB/T</w:t>
      </w:r>
      <w:r>
        <w:rPr>
          <w:rFonts w:hint="eastAsia" w:ascii="方正楷体_GBK" w:hAnsi="方正楷体_GBK" w:eastAsia="方正楷体_GBK" w:cs="方正楷体_GBK"/>
          <w:color w:val="auto"/>
          <w:sz w:val="24"/>
          <w:highlight w:val="none"/>
          <w:lang w:val="en-US" w:eastAsia="zh-CN"/>
        </w:rPr>
        <w:t xml:space="preserve"> </w:t>
      </w:r>
      <w:r>
        <w:rPr>
          <w:rFonts w:hint="eastAsia" w:ascii="方正楷体_GBK" w:hAnsi="方正楷体_GBK" w:eastAsia="方正楷体_GBK" w:cs="方正楷体_GBK"/>
          <w:color w:val="auto"/>
          <w:sz w:val="24"/>
          <w:highlight w:val="none"/>
        </w:rPr>
        <w:t>30593和《外墙内保温工程技术规程》JGJ/T</w:t>
      </w:r>
      <w:r>
        <w:rPr>
          <w:rFonts w:hint="eastAsia" w:ascii="方正楷体_GBK" w:hAnsi="方正楷体_GBK" w:eastAsia="方正楷体_GBK" w:cs="方正楷体_GBK"/>
          <w:color w:val="auto"/>
          <w:sz w:val="24"/>
          <w:highlight w:val="none"/>
          <w:lang w:val="en-US" w:eastAsia="zh-CN"/>
        </w:rPr>
        <w:t xml:space="preserve"> </w:t>
      </w:r>
      <w:r>
        <w:rPr>
          <w:rFonts w:hint="eastAsia" w:ascii="方正楷体_GBK" w:hAnsi="方正楷体_GBK" w:eastAsia="方正楷体_GBK" w:cs="方正楷体_GBK"/>
          <w:color w:val="auto"/>
          <w:sz w:val="24"/>
          <w:highlight w:val="none"/>
        </w:rPr>
        <w:t>261，提出建筑内保温系统性能指标要求。</w:t>
      </w:r>
    </w:p>
    <w:p>
      <w:pPr>
        <w:rPr>
          <w:rFonts w:eastAsia="黑体"/>
          <w:color w:val="auto"/>
          <w:sz w:val="24"/>
          <w:highlight w:val="none"/>
        </w:rPr>
      </w:pPr>
      <w:bookmarkStart w:id="155" w:name="_Toc24090"/>
    </w:p>
    <w:p>
      <w:pPr>
        <w:rPr>
          <w:rFonts w:eastAsia="黑体"/>
          <w:color w:val="auto"/>
          <w:sz w:val="24"/>
          <w:highlight w:val="none"/>
        </w:rPr>
      </w:pPr>
      <w:r>
        <w:rPr>
          <w:rFonts w:hint="eastAsia" w:eastAsia="黑体"/>
          <w:color w:val="auto"/>
          <w:sz w:val="24"/>
          <w:highlight w:val="none"/>
        </w:rPr>
        <w:br w:type="page"/>
      </w:r>
    </w:p>
    <w:p>
      <w:pPr>
        <w:pStyle w:val="5"/>
        <w:bidi w:val="0"/>
        <w:rPr>
          <w:color w:val="auto"/>
          <w:highlight w:val="none"/>
        </w:rPr>
      </w:pPr>
      <w:bookmarkStart w:id="156" w:name="_Toc6739"/>
      <w:bookmarkStart w:id="157" w:name="_Toc1216"/>
      <w:bookmarkStart w:id="158" w:name="_Toc25664"/>
      <w:bookmarkStart w:id="159" w:name="_Toc2974"/>
      <w:bookmarkStart w:id="160" w:name="_Toc14601"/>
      <w:r>
        <w:rPr>
          <w:rFonts w:hint="eastAsia"/>
          <w:color w:val="auto"/>
          <w:highlight w:val="none"/>
        </w:rPr>
        <w:t>4.3 组成材料</w:t>
      </w:r>
      <w:bookmarkEnd w:id="155"/>
      <w:bookmarkEnd w:id="156"/>
      <w:bookmarkEnd w:id="157"/>
      <w:bookmarkEnd w:id="158"/>
      <w:bookmarkEnd w:id="159"/>
      <w:r>
        <w:rPr>
          <w:rFonts w:hint="eastAsia"/>
          <w:color w:val="auto"/>
          <w:highlight w:val="none"/>
        </w:rPr>
        <w:t>性能要求</w:t>
      </w:r>
      <w:bookmarkEnd w:id="160"/>
    </w:p>
    <w:p>
      <w:pPr>
        <w:rPr>
          <w:color w:val="auto"/>
          <w:highlight w:val="none"/>
        </w:rPr>
      </w:pPr>
    </w:p>
    <w:p>
      <w:pPr>
        <w:spacing w:line="360" w:lineRule="auto"/>
        <w:outlineLvl w:val="2"/>
        <w:rPr>
          <w:color w:val="auto"/>
          <w:sz w:val="24"/>
          <w:highlight w:val="none"/>
        </w:rPr>
      </w:pPr>
      <w:bookmarkStart w:id="161" w:name="_Toc430006753"/>
      <w:bookmarkStart w:id="162" w:name="_Toc32497"/>
      <w:bookmarkStart w:id="163" w:name="_Toc19863"/>
      <w:r>
        <w:rPr>
          <w:rFonts w:hint="eastAsia"/>
          <w:b/>
          <w:color w:val="auto"/>
          <w:sz w:val="24"/>
          <w:highlight w:val="none"/>
        </w:rPr>
        <w:t>4.3</w:t>
      </w:r>
      <w:r>
        <w:rPr>
          <w:b/>
          <w:color w:val="auto"/>
          <w:sz w:val="24"/>
          <w:highlight w:val="none"/>
        </w:rPr>
        <w:t xml:space="preserve">.1 </w:t>
      </w:r>
      <w:bookmarkEnd w:id="161"/>
      <w:r>
        <w:rPr>
          <w:rFonts w:hAnsi="宋体"/>
          <w:color w:val="auto"/>
          <w:sz w:val="24"/>
          <w:highlight w:val="none"/>
        </w:rPr>
        <w:t>内保温复合板</w:t>
      </w:r>
      <w:r>
        <w:rPr>
          <w:rFonts w:hint="eastAsia" w:hAnsi="宋体"/>
          <w:color w:val="auto"/>
          <w:sz w:val="24"/>
          <w:highlight w:val="none"/>
        </w:rPr>
        <w:t>应符合下列规定：</w:t>
      </w:r>
      <w:bookmarkEnd w:id="162"/>
      <w:bookmarkEnd w:id="163"/>
    </w:p>
    <w:p>
      <w:pPr>
        <w:spacing w:line="500" w:lineRule="exact"/>
        <w:ind w:firstLine="480" w:firstLineChars="200"/>
        <w:rPr>
          <w:rFonts w:hint="eastAsia" w:ascii="Times New Roman" w:hAnsi="Times New Roman"/>
          <w:color w:val="auto"/>
          <w:sz w:val="24"/>
          <w:szCs w:val="24"/>
          <w:highlight w:val="none"/>
        </w:rPr>
      </w:pPr>
      <w:r>
        <w:rPr>
          <w:rFonts w:hint="eastAsia" w:ascii="Times New Roman" w:hAnsi="Times New Roman"/>
          <w:color w:val="auto"/>
          <w:sz w:val="24"/>
          <w:szCs w:val="24"/>
          <w:highlight w:val="none"/>
        </w:rPr>
        <w:t>1复合板的纸面石膏面板应板面平整，不应有影响使用的波纹、沟槽、亏料和划伤、破损、污痕等缺陷；复合保温板的无石棉硅酸钙板面板和无石棉纤维水泥平板应板面平整，且表面不应有裂纹、分层、脱皮；挤塑聚苯乙烯复合板的挤塑聚苯乙烯泡沫塑料板面应表面平整、无夹杂物、颜色均匀，不应有影响使用的可见缺陷、如起泡、裂口、变形等。</w:t>
      </w:r>
    </w:p>
    <w:p>
      <w:pPr>
        <w:spacing w:line="500" w:lineRule="exact"/>
        <w:ind w:firstLine="480" w:firstLineChars="200"/>
        <w:rPr>
          <w:rFonts w:hAnsi="宋体"/>
          <w:color w:val="auto"/>
          <w:sz w:val="24"/>
          <w:highlight w:val="none"/>
        </w:rPr>
      </w:pPr>
      <w:r>
        <w:rPr>
          <w:rFonts w:hint="eastAsia" w:ascii="Times New Roman" w:hAnsi="Times New Roman"/>
          <w:color w:val="auto"/>
          <w:sz w:val="24"/>
          <w:szCs w:val="24"/>
          <w:highlight w:val="none"/>
        </w:rPr>
        <w:t>2复合板的公称宽度为600mm、900mm、1200mm，公称长度与层高相适应，纸面石膏板最小公称厚度为9.5mm，无石棉硅酸钙板面板及无石棉纤维水泥平板最小公称厚度为10mm，</w:t>
      </w:r>
      <w:r>
        <w:rPr>
          <w:rFonts w:hint="eastAsia" w:ascii="Times New Roman" w:hAnsi="Times New Roman"/>
          <w:color w:val="auto"/>
          <w:sz w:val="24"/>
          <w:szCs w:val="24"/>
          <w:highlight w:val="none"/>
          <w:lang w:eastAsia="zh-CN"/>
        </w:rPr>
        <w:t>其他规格尺寸由供需双方商定</w:t>
      </w:r>
      <w:r>
        <w:rPr>
          <w:rFonts w:hint="eastAsia" w:ascii="Times New Roman" w:hAnsi="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color w:val="auto"/>
          <w:sz w:val="24"/>
          <w:highlight w:val="none"/>
        </w:rPr>
      </w:pPr>
      <w:r>
        <w:rPr>
          <w:color w:val="auto"/>
          <w:sz w:val="24"/>
          <w:highlight w:val="none"/>
        </w:rPr>
        <w:t>3</w:t>
      </w:r>
      <w:r>
        <w:rPr>
          <w:rFonts w:hint="eastAsia" w:hAnsi="宋体"/>
          <w:color w:val="auto"/>
          <w:sz w:val="24"/>
          <w:highlight w:val="none"/>
        </w:rPr>
        <w:t>复合板</w:t>
      </w:r>
      <w:r>
        <w:rPr>
          <w:rFonts w:hint="eastAsia"/>
          <w:color w:val="auto"/>
          <w:sz w:val="24"/>
          <w:highlight w:val="none"/>
        </w:rPr>
        <w:t>的尺寸允许偏差应符合表4.3</w:t>
      </w:r>
      <w:r>
        <w:rPr>
          <w:color w:val="auto"/>
          <w:sz w:val="24"/>
          <w:highlight w:val="none"/>
        </w:rPr>
        <w:t>.1-1</w:t>
      </w:r>
      <w:r>
        <w:rPr>
          <w:rFonts w:hint="eastAsia"/>
          <w:color w:val="auto"/>
          <w:sz w:val="24"/>
          <w:highlight w:val="none"/>
        </w:rPr>
        <w:t>规定。</w:t>
      </w:r>
    </w:p>
    <w:p>
      <w:pPr>
        <w:jc w:val="center"/>
        <w:rPr>
          <w:rFonts w:hAnsi="宋体"/>
          <w:b/>
          <w:color w:val="auto"/>
          <w:szCs w:val="21"/>
          <w:highlight w:val="none"/>
        </w:rPr>
      </w:pPr>
      <w:r>
        <w:rPr>
          <w:rFonts w:hint="eastAsia" w:hAnsi="宋体"/>
          <w:b/>
          <w:color w:val="auto"/>
          <w:szCs w:val="21"/>
          <w:highlight w:val="none"/>
        </w:rPr>
        <w:t>表</w:t>
      </w:r>
      <w:r>
        <w:rPr>
          <w:rFonts w:hint="eastAsia"/>
          <w:b/>
          <w:color w:val="auto"/>
          <w:szCs w:val="21"/>
          <w:highlight w:val="none"/>
        </w:rPr>
        <w:t>4.3</w:t>
      </w:r>
      <w:r>
        <w:rPr>
          <w:b/>
          <w:color w:val="auto"/>
          <w:szCs w:val="21"/>
          <w:highlight w:val="none"/>
        </w:rPr>
        <w:t>.1-1</w:t>
      </w:r>
      <w:r>
        <w:rPr>
          <w:rFonts w:hint="eastAsia" w:hAnsi="宋体"/>
          <w:b/>
          <w:color w:val="auto"/>
          <w:szCs w:val="21"/>
          <w:highlight w:val="none"/>
        </w:rPr>
        <w:t>复合板尺寸允许偏差（</w:t>
      </w:r>
      <w:r>
        <w:rPr>
          <w:rFonts w:hAnsi="宋体"/>
          <w:b/>
          <w:color w:val="auto"/>
          <w:szCs w:val="21"/>
          <w:highlight w:val="none"/>
        </w:rPr>
        <w:t>mm</w:t>
      </w:r>
      <w:r>
        <w:rPr>
          <w:rFonts w:hint="eastAsia" w:hAnsi="宋体"/>
          <w:b/>
          <w:color w:val="auto"/>
          <w:szCs w:val="21"/>
          <w:highlight w:val="none"/>
        </w:rPr>
        <w:t>）</w:t>
      </w:r>
    </w:p>
    <w:tbl>
      <w:tblPr>
        <w:tblStyle w:val="24"/>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27"/>
        <w:gridCol w:w="2128"/>
        <w:gridCol w:w="2575"/>
        <w:gridCol w:w="25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48" w:type="pct"/>
            <w:gridSpan w:val="2"/>
          </w:tcPr>
          <w:p>
            <w:pPr>
              <w:spacing w:before="100" w:after="100"/>
              <w:jc w:val="center"/>
              <w:rPr>
                <w:color w:val="auto"/>
                <w:szCs w:val="21"/>
                <w:highlight w:val="none"/>
              </w:rPr>
            </w:pPr>
            <w:r>
              <w:rPr>
                <w:rFonts w:hint="eastAsia"/>
                <w:color w:val="auto"/>
                <w:szCs w:val="21"/>
                <w:highlight w:val="none"/>
              </w:rPr>
              <w:t>项目</w:t>
            </w:r>
          </w:p>
        </w:tc>
        <w:tc>
          <w:tcPr>
            <w:tcW w:w="1393" w:type="pct"/>
          </w:tcPr>
          <w:p>
            <w:pPr>
              <w:spacing w:before="100" w:after="100"/>
              <w:jc w:val="center"/>
              <w:rPr>
                <w:color w:val="auto"/>
                <w:szCs w:val="21"/>
                <w:highlight w:val="none"/>
              </w:rPr>
            </w:pPr>
            <w:r>
              <w:rPr>
                <w:rFonts w:hint="eastAsia"/>
                <w:color w:val="auto"/>
                <w:szCs w:val="21"/>
                <w:highlight w:val="none"/>
              </w:rPr>
              <w:t>允许偏差</w:t>
            </w:r>
          </w:p>
        </w:tc>
        <w:tc>
          <w:tcPr>
            <w:tcW w:w="1359" w:type="pct"/>
          </w:tcPr>
          <w:p>
            <w:pPr>
              <w:spacing w:before="100" w:after="100"/>
              <w:jc w:val="center"/>
              <w:rPr>
                <w:color w:val="auto"/>
                <w:szCs w:val="21"/>
                <w:highlight w:val="none"/>
              </w:rPr>
            </w:pPr>
            <w:r>
              <w:rPr>
                <w:rFonts w:hint="eastAsia"/>
                <w:color w:val="auto"/>
                <w:szCs w:val="21"/>
                <w:highlight w:val="none"/>
              </w:rPr>
              <w:t>试验方法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48" w:type="pct"/>
            <w:gridSpan w:val="2"/>
            <w:vAlign w:val="center"/>
          </w:tcPr>
          <w:p>
            <w:pPr>
              <w:spacing w:before="100" w:after="100"/>
              <w:jc w:val="center"/>
              <w:rPr>
                <w:color w:val="auto"/>
                <w:szCs w:val="21"/>
                <w:highlight w:val="none"/>
              </w:rPr>
            </w:pPr>
            <w:r>
              <w:rPr>
                <w:rFonts w:hint="eastAsia"/>
                <w:color w:val="auto"/>
                <w:szCs w:val="21"/>
                <w:highlight w:val="none"/>
              </w:rPr>
              <w:t>长度</w:t>
            </w:r>
          </w:p>
        </w:tc>
        <w:tc>
          <w:tcPr>
            <w:tcW w:w="1393" w:type="pct"/>
            <w:vAlign w:val="center"/>
          </w:tcPr>
          <w:p>
            <w:pPr>
              <w:spacing w:before="100" w:after="100"/>
              <w:jc w:val="center"/>
              <w:rPr>
                <w:color w:val="auto"/>
                <w:szCs w:val="21"/>
                <w:highlight w:val="none"/>
              </w:rPr>
            </w:pPr>
            <w:r>
              <w:rPr>
                <w:color w:val="auto"/>
                <w:szCs w:val="21"/>
                <w:highlight w:val="none"/>
              </w:rPr>
              <w:t>-3.0~0</w:t>
            </w:r>
          </w:p>
        </w:tc>
        <w:tc>
          <w:tcPr>
            <w:tcW w:w="1359" w:type="pct"/>
            <w:vMerge w:val="restart"/>
            <w:vAlign w:val="center"/>
          </w:tcPr>
          <w:p>
            <w:pPr>
              <w:spacing w:before="100" w:after="100"/>
              <w:jc w:val="center"/>
              <w:rPr>
                <w:color w:val="auto"/>
                <w:szCs w:val="21"/>
                <w:highlight w:val="none"/>
              </w:rPr>
            </w:pPr>
            <w:r>
              <w:rPr>
                <w:color w:val="auto"/>
                <w:szCs w:val="21"/>
                <w:highlight w:val="none"/>
              </w:rPr>
              <w:t>GB/T 6342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8" w:hRule="atLeast"/>
          <w:jc w:val="center"/>
        </w:trPr>
        <w:tc>
          <w:tcPr>
            <w:tcW w:w="2248" w:type="pct"/>
            <w:gridSpan w:val="2"/>
            <w:vAlign w:val="center"/>
          </w:tcPr>
          <w:p>
            <w:pPr>
              <w:spacing w:before="100" w:after="100"/>
              <w:jc w:val="center"/>
              <w:rPr>
                <w:color w:val="auto"/>
                <w:szCs w:val="21"/>
                <w:highlight w:val="none"/>
              </w:rPr>
            </w:pPr>
            <w:r>
              <w:rPr>
                <w:rFonts w:hint="eastAsia"/>
                <w:color w:val="auto"/>
                <w:szCs w:val="21"/>
                <w:highlight w:val="none"/>
              </w:rPr>
              <w:t>宽度</w:t>
            </w:r>
          </w:p>
        </w:tc>
        <w:tc>
          <w:tcPr>
            <w:tcW w:w="1393" w:type="pct"/>
            <w:vAlign w:val="center"/>
          </w:tcPr>
          <w:p>
            <w:pPr>
              <w:spacing w:before="100" w:after="100"/>
              <w:jc w:val="center"/>
              <w:rPr>
                <w:color w:val="auto"/>
                <w:szCs w:val="21"/>
                <w:highlight w:val="none"/>
              </w:rPr>
            </w:pPr>
            <w:r>
              <w:rPr>
                <w:color w:val="auto"/>
                <w:szCs w:val="21"/>
                <w:highlight w:val="none"/>
              </w:rPr>
              <w:t>-3.0~0</w:t>
            </w:r>
          </w:p>
        </w:tc>
        <w:tc>
          <w:tcPr>
            <w:tcW w:w="1359" w:type="pct"/>
            <w:vMerge w:val="continue"/>
          </w:tcPr>
          <w:p>
            <w:pPr>
              <w:spacing w:before="100" w:after="100"/>
              <w:jc w:val="center"/>
              <w:rPr>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1097" w:type="pct"/>
            <w:vMerge w:val="restart"/>
            <w:tcBorders>
              <w:right w:val="single" w:color="auto" w:sz="4" w:space="0"/>
            </w:tcBorders>
            <w:vAlign w:val="center"/>
          </w:tcPr>
          <w:p>
            <w:pPr>
              <w:spacing w:before="100" w:after="100"/>
              <w:jc w:val="center"/>
              <w:rPr>
                <w:color w:val="auto"/>
                <w:szCs w:val="21"/>
                <w:highlight w:val="none"/>
              </w:rPr>
            </w:pPr>
            <w:r>
              <w:rPr>
                <w:rFonts w:hint="eastAsia"/>
                <w:color w:val="auto"/>
                <w:szCs w:val="21"/>
                <w:highlight w:val="none"/>
              </w:rPr>
              <w:t>厚度</w:t>
            </w:r>
          </w:p>
        </w:tc>
        <w:tc>
          <w:tcPr>
            <w:tcW w:w="1150" w:type="pct"/>
            <w:tcBorders>
              <w:left w:val="single" w:color="auto" w:sz="4" w:space="0"/>
              <w:bottom w:val="single" w:color="auto" w:sz="4" w:space="0"/>
            </w:tcBorders>
            <w:vAlign w:val="center"/>
          </w:tcPr>
          <w:p>
            <w:pPr>
              <w:spacing w:before="100" w:after="100"/>
              <w:jc w:val="center"/>
              <w:rPr>
                <w:color w:val="auto"/>
                <w:szCs w:val="21"/>
                <w:highlight w:val="none"/>
              </w:rPr>
            </w:pPr>
            <w:r>
              <w:rPr>
                <w:color w:val="auto"/>
                <w:szCs w:val="21"/>
                <w:highlight w:val="none"/>
              </w:rPr>
              <w:t>复合板厚度</w:t>
            </w:r>
          </w:p>
        </w:tc>
        <w:tc>
          <w:tcPr>
            <w:tcW w:w="1393" w:type="pct"/>
            <w:tcBorders>
              <w:bottom w:val="single" w:color="auto" w:sz="4" w:space="0"/>
            </w:tcBorders>
            <w:vAlign w:val="center"/>
          </w:tcPr>
          <w:p>
            <w:pPr>
              <w:spacing w:before="100" w:after="100"/>
              <w:jc w:val="center"/>
              <w:rPr>
                <w:color w:val="auto"/>
                <w:szCs w:val="21"/>
                <w:highlight w:val="none"/>
              </w:rPr>
            </w:pPr>
            <w:r>
              <w:rPr>
                <w:color w:val="auto"/>
                <w:szCs w:val="21"/>
                <w:highlight w:val="none"/>
              </w:rPr>
              <w:t>0~+2.0</w:t>
            </w:r>
          </w:p>
        </w:tc>
        <w:tc>
          <w:tcPr>
            <w:tcW w:w="1359" w:type="pct"/>
            <w:vMerge w:val="continue"/>
          </w:tcPr>
          <w:p>
            <w:pPr>
              <w:spacing w:before="100" w:after="100"/>
              <w:jc w:val="center"/>
              <w:rPr>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0" w:hRule="atLeast"/>
          <w:jc w:val="center"/>
        </w:trPr>
        <w:tc>
          <w:tcPr>
            <w:tcW w:w="1097" w:type="pct"/>
            <w:vMerge w:val="continue"/>
            <w:tcBorders>
              <w:right w:val="single" w:color="auto" w:sz="4" w:space="0"/>
            </w:tcBorders>
            <w:vAlign w:val="center"/>
          </w:tcPr>
          <w:p>
            <w:pPr>
              <w:spacing w:before="100" w:after="100"/>
              <w:jc w:val="center"/>
              <w:rPr>
                <w:color w:val="auto"/>
                <w:szCs w:val="21"/>
                <w:highlight w:val="none"/>
              </w:rPr>
            </w:pPr>
          </w:p>
        </w:tc>
        <w:tc>
          <w:tcPr>
            <w:tcW w:w="1150" w:type="pct"/>
            <w:tcBorders>
              <w:top w:val="single" w:color="auto" w:sz="4" w:space="0"/>
              <w:left w:val="single" w:color="auto" w:sz="4" w:space="0"/>
            </w:tcBorders>
            <w:vAlign w:val="center"/>
          </w:tcPr>
          <w:p>
            <w:pPr>
              <w:spacing w:before="100" w:after="100"/>
              <w:jc w:val="center"/>
              <w:rPr>
                <w:color w:val="auto"/>
                <w:szCs w:val="21"/>
                <w:highlight w:val="none"/>
              </w:rPr>
            </w:pPr>
            <w:r>
              <w:rPr>
                <w:color w:val="auto"/>
                <w:szCs w:val="21"/>
                <w:highlight w:val="none"/>
              </w:rPr>
              <w:t>保温层厚度</w:t>
            </w:r>
          </w:p>
        </w:tc>
        <w:tc>
          <w:tcPr>
            <w:tcW w:w="1393" w:type="pct"/>
            <w:tcBorders>
              <w:top w:val="single" w:color="auto" w:sz="4" w:space="0"/>
            </w:tcBorders>
            <w:vAlign w:val="center"/>
          </w:tcPr>
          <w:p>
            <w:pPr>
              <w:spacing w:before="100" w:after="100"/>
              <w:jc w:val="center"/>
              <w:rPr>
                <w:color w:val="auto"/>
                <w:szCs w:val="21"/>
                <w:highlight w:val="none"/>
              </w:rPr>
            </w:pPr>
            <w:r>
              <w:rPr>
                <w:color w:val="auto"/>
                <w:szCs w:val="21"/>
                <w:highlight w:val="none"/>
              </w:rPr>
              <w:t>0~+1.0</w:t>
            </w:r>
          </w:p>
        </w:tc>
        <w:tc>
          <w:tcPr>
            <w:tcW w:w="1359" w:type="pct"/>
            <w:vMerge w:val="continue"/>
          </w:tcPr>
          <w:p>
            <w:pPr>
              <w:spacing w:before="100" w:after="100"/>
              <w:jc w:val="center"/>
              <w:rPr>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48" w:type="pct"/>
            <w:gridSpan w:val="2"/>
            <w:vAlign w:val="center"/>
          </w:tcPr>
          <w:p>
            <w:pPr>
              <w:spacing w:before="100" w:after="100"/>
              <w:jc w:val="center"/>
              <w:rPr>
                <w:color w:val="auto"/>
                <w:szCs w:val="21"/>
                <w:highlight w:val="none"/>
              </w:rPr>
            </w:pPr>
            <w:r>
              <w:rPr>
                <w:rFonts w:hint="eastAsia"/>
                <w:color w:val="auto"/>
                <w:szCs w:val="21"/>
                <w:highlight w:val="none"/>
              </w:rPr>
              <w:t>对角线差</w:t>
            </w:r>
          </w:p>
        </w:tc>
        <w:tc>
          <w:tcPr>
            <w:tcW w:w="1393" w:type="pct"/>
            <w:vAlign w:val="center"/>
          </w:tcPr>
          <w:p>
            <w:pPr>
              <w:spacing w:before="100" w:after="100"/>
              <w:jc w:val="center"/>
              <w:rPr>
                <w:color w:val="auto"/>
                <w:szCs w:val="21"/>
                <w:highlight w:val="none"/>
              </w:rPr>
            </w:pPr>
            <w:r>
              <w:rPr>
                <w:color w:val="auto"/>
                <w:szCs w:val="21"/>
                <w:highlight w:val="none"/>
              </w:rPr>
              <w:t>≤4.0</w:t>
            </w:r>
          </w:p>
        </w:tc>
        <w:tc>
          <w:tcPr>
            <w:tcW w:w="1359" w:type="pct"/>
            <w:vMerge w:val="continue"/>
          </w:tcPr>
          <w:p>
            <w:pPr>
              <w:spacing w:before="100" w:after="100"/>
              <w:jc w:val="center"/>
              <w:rPr>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48" w:type="pct"/>
            <w:gridSpan w:val="2"/>
            <w:vAlign w:val="center"/>
          </w:tcPr>
          <w:p>
            <w:pPr>
              <w:spacing w:before="100" w:after="100"/>
              <w:jc w:val="center"/>
              <w:rPr>
                <w:color w:val="auto"/>
                <w:szCs w:val="21"/>
                <w:highlight w:val="none"/>
              </w:rPr>
            </w:pPr>
            <w:r>
              <w:rPr>
                <w:rFonts w:hint="eastAsia"/>
                <w:color w:val="auto"/>
                <w:szCs w:val="21"/>
                <w:highlight w:val="none"/>
              </w:rPr>
              <w:t>板面平整度</w:t>
            </w:r>
          </w:p>
        </w:tc>
        <w:tc>
          <w:tcPr>
            <w:tcW w:w="1393" w:type="pct"/>
            <w:vAlign w:val="center"/>
          </w:tcPr>
          <w:p>
            <w:pPr>
              <w:spacing w:before="100" w:after="100"/>
              <w:jc w:val="center"/>
              <w:rPr>
                <w:color w:val="auto"/>
                <w:szCs w:val="21"/>
                <w:highlight w:val="none"/>
              </w:rPr>
            </w:pPr>
            <w:r>
              <w:rPr>
                <w:color w:val="auto"/>
                <w:szCs w:val="21"/>
                <w:highlight w:val="none"/>
              </w:rPr>
              <w:t>≤4.0</w:t>
            </w:r>
          </w:p>
        </w:tc>
        <w:tc>
          <w:tcPr>
            <w:tcW w:w="1359" w:type="pct"/>
            <w:vMerge w:val="continue"/>
          </w:tcPr>
          <w:p>
            <w:pPr>
              <w:spacing w:before="100" w:after="100"/>
              <w:jc w:val="center"/>
              <w:rPr>
                <w:color w:val="auto"/>
                <w:szCs w:val="21"/>
                <w:highlight w:val="none"/>
              </w:rPr>
            </w:pPr>
          </w:p>
        </w:tc>
      </w:tr>
    </w:tbl>
    <w:p>
      <w:pPr>
        <w:ind w:firstLine="480" w:firstLineChars="200"/>
        <w:rPr>
          <w:color w:val="auto"/>
          <w:sz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Ansi="宋体"/>
          <w:color w:val="auto"/>
          <w:sz w:val="24"/>
          <w:highlight w:val="none"/>
        </w:rPr>
      </w:pPr>
      <w:r>
        <w:rPr>
          <w:rFonts w:hAnsi="宋体"/>
          <w:color w:val="auto"/>
          <w:sz w:val="24"/>
          <w:highlight w:val="none"/>
        </w:rPr>
        <w:t>4</w:t>
      </w:r>
      <w:r>
        <w:rPr>
          <w:rFonts w:hint="eastAsia" w:hAnsi="宋体"/>
          <w:color w:val="auto"/>
          <w:sz w:val="24"/>
          <w:highlight w:val="none"/>
        </w:rPr>
        <w:t>复合板的性能应符合表4.3</w:t>
      </w:r>
      <w:r>
        <w:rPr>
          <w:rFonts w:hAnsi="宋体"/>
          <w:color w:val="auto"/>
          <w:sz w:val="24"/>
          <w:highlight w:val="none"/>
        </w:rPr>
        <w:t>.1-2</w:t>
      </w:r>
      <w:r>
        <w:rPr>
          <w:rFonts w:hint="eastAsia" w:hAnsi="宋体"/>
          <w:color w:val="auto"/>
          <w:sz w:val="24"/>
          <w:highlight w:val="none"/>
        </w:rPr>
        <w:t>的规定。</w:t>
      </w:r>
    </w:p>
    <w:p>
      <w:pPr>
        <w:spacing w:before="156" w:beforeLines="50"/>
        <w:jc w:val="center"/>
        <w:rPr>
          <w:b/>
          <w:color w:val="auto"/>
          <w:szCs w:val="21"/>
          <w:highlight w:val="none"/>
        </w:rPr>
      </w:pPr>
      <w:r>
        <w:rPr>
          <w:rFonts w:hint="eastAsia" w:hAnsi="宋体"/>
          <w:b/>
          <w:color w:val="auto"/>
          <w:szCs w:val="21"/>
          <w:highlight w:val="none"/>
        </w:rPr>
        <w:t>表</w:t>
      </w:r>
      <w:r>
        <w:rPr>
          <w:rFonts w:hint="eastAsia"/>
          <w:b/>
          <w:color w:val="auto"/>
          <w:szCs w:val="21"/>
          <w:highlight w:val="none"/>
        </w:rPr>
        <w:t>4.3</w:t>
      </w:r>
      <w:r>
        <w:rPr>
          <w:b/>
          <w:color w:val="auto"/>
          <w:szCs w:val="21"/>
          <w:highlight w:val="none"/>
        </w:rPr>
        <w:t>.1-2</w:t>
      </w:r>
      <w:r>
        <w:rPr>
          <w:rFonts w:hint="eastAsia" w:hAnsi="宋体"/>
          <w:b/>
          <w:color w:val="auto"/>
          <w:szCs w:val="21"/>
          <w:highlight w:val="none"/>
        </w:rPr>
        <w:t>复合板的主要性能指标</w:t>
      </w:r>
    </w:p>
    <w:tbl>
      <w:tblPr>
        <w:tblStyle w:val="24"/>
        <w:tblW w:w="938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80"/>
        <w:gridCol w:w="1064"/>
        <w:gridCol w:w="1832"/>
        <w:gridCol w:w="1727"/>
        <w:gridCol w:w="1765"/>
        <w:gridCol w:w="14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644" w:type="dxa"/>
            <w:gridSpan w:val="2"/>
            <w:vMerge w:val="restart"/>
            <w:vAlign w:val="center"/>
          </w:tcPr>
          <w:p>
            <w:pPr>
              <w:spacing w:before="100" w:after="100"/>
              <w:jc w:val="center"/>
              <w:rPr>
                <w:color w:val="auto"/>
                <w:szCs w:val="21"/>
                <w:highlight w:val="none"/>
              </w:rPr>
            </w:pPr>
            <w:r>
              <w:rPr>
                <w:rFonts w:hint="eastAsia" w:hAnsi="宋体"/>
                <w:color w:val="auto"/>
                <w:szCs w:val="21"/>
                <w:highlight w:val="none"/>
              </w:rPr>
              <w:t>项目</w:t>
            </w:r>
          </w:p>
        </w:tc>
        <w:tc>
          <w:tcPr>
            <w:tcW w:w="5324" w:type="dxa"/>
            <w:gridSpan w:val="3"/>
            <w:vAlign w:val="center"/>
          </w:tcPr>
          <w:p>
            <w:pPr>
              <w:spacing w:before="100" w:after="100"/>
              <w:jc w:val="center"/>
              <w:rPr>
                <w:color w:val="auto"/>
                <w:szCs w:val="21"/>
                <w:highlight w:val="none"/>
              </w:rPr>
            </w:pPr>
            <w:r>
              <w:rPr>
                <w:rFonts w:hint="eastAsia"/>
                <w:color w:val="auto"/>
                <w:szCs w:val="21"/>
                <w:highlight w:val="none"/>
              </w:rPr>
              <w:t>性能指标</w:t>
            </w:r>
          </w:p>
        </w:tc>
        <w:tc>
          <w:tcPr>
            <w:tcW w:w="1418" w:type="dxa"/>
            <w:vMerge w:val="restart"/>
            <w:vAlign w:val="center"/>
          </w:tcPr>
          <w:p>
            <w:pPr>
              <w:spacing w:before="100" w:after="100"/>
              <w:jc w:val="center"/>
              <w:rPr>
                <w:color w:val="auto"/>
                <w:szCs w:val="21"/>
                <w:highlight w:val="none"/>
              </w:rPr>
            </w:pPr>
            <w:r>
              <w:rPr>
                <w:rFonts w:hint="eastAsia"/>
                <w:color w:val="auto"/>
                <w:szCs w:val="21"/>
                <w:highlight w:val="none"/>
              </w:rPr>
              <w:t>试验方法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644" w:type="dxa"/>
            <w:gridSpan w:val="2"/>
            <w:vMerge w:val="continue"/>
            <w:vAlign w:val="center"/>
          </w:tcPr>
          <w:p>
            <w:pPr>
              <w:spacing w:before="100" w:after="100"/>
              <w:jc w:val="center"/>
              <w:rPr>
                <w:color w:val="auto"/>
                <w:szCs w:val="21"/>
                <w:highlight w:val="none"/>
              </w:rPr>
            </w:pPr>
          </w:p>
        </w:tc>
        <w:tc>
          <w:tcPr>
            <w:tcW w:w="1832" w:type="dxa"/>
            <w:vAlign w:val="center"/>
          </w:tcPr>
          <w:p>
            <w:pPr>
              <w:spacing w:before="100" w:after="100"/>
              <w:jc w:val="center"/>
              <w:rPr>
                <w:color w:val="auto"/>
                <w:szCs w:val="21"/>
                <w:highlight w:val="none"/>
              </w:rPr>
            </w:pPr>
            <w:r>
              <w:rPr>
                <w:rFonts w:hint="eastAsia"/>
                <w:color w:val="auto"/>
                <w:szCs w:val="21"/>
                <w:highlight w:val="none"/>
              </w:rPr>
              <w:t>纸面石膏面层</w:t>
            </w:r>
          </w:p>
        </w:tc>
        <w:tc>
          <w:tcPr>
            <w:tcW w:w="1727" w:type="dxa"/>
            <w:vAlign w:val="center"/>
          </w:tcPr>
          <w:p>
            <w:pPr>
              <w:spacing w:before="100" w:after="100"/>
              <w:jc w:val="center"/>
              <w:rPr>
                <w:color w:val="auto"/>
                <w:szCs w:val="21"/>
                <w:highlight w:val="none"/>
              </w:rPr>
            </w:pPr>
            <w:r>
              <w:rPr>
                <w:rFonts w:hint="eastAsia" w:hAnsi="宋体"/>
                <w:color w:val="auto"/>
                <w:szCs w:val="21"/>
                <w:highlight w:val="none"/>
              </w:rPr>
              <w:t>无石棉硅酸钙板面层</w:t>
            </w:r>
          </w:p>
        </w:tc>
        <w:tc>
          <w:tcPr>
            <w:tcW w:w="1765" w:type="dxa"/>
            <w:vAlign w:val="center"/>
          </w:tcPr>
          <w:p>
            <w:pPr>
              <w:spacing w:before="100" w:after="100"/>
              <w:jc w:val="center"/>
              <w:rPr>
                <w:color w:val="auto"/>
                <w:szCs w:val="21"/>
                <w:highlight w:val="none"/>
              </w:rPr>
            </w:pPr>
            <w:r>
              <w:rPr>
                <w:rFonts w:hint="eastAsia" w:hAnsi="宋体"/>
                <w:color w:val="auto"/>
                <w:szCs w:val="21"/>
                <w:highlight w:val="none"/>
              </w:rPr>
              <w:t>无石棉纤维水泥平板面层</w:t>
            </w:r>
          </w:p>
        </w:tc>
        <w:tc>
          <w:tcPr>
            <w:tcW w:w="1418" w:type="dxa"/>
            <w:vMerge w:val="continue"/>
            <w:vAlign w:val="center"/>
          </w:tcPr>
          <w:p>
            <w:pPr>
              <w:spacing w:before="100" w:after="100"/>
              <w:jc w:val="center"/>
              <w:rPr>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644" w:type="dxa"/>
            <w:gridSpan w:val="2"/>
            <w:vAlign w:val="center"/>
          </w:tcPr>
          <w:p>
            <w:pPr>
              <w:spacing w:before="100" w:after="100"/>
              <w:jc w:val="center"/>
              <w:rPr>
                <w:color w:val="auto"/>
                <w:szCs w:val="21"/>
                <w:highlight w:val="none"/>
              </w:rPr>
            </w:pPr>
            <w:r>
              <w:rPr>
                <w:rFonts w:hint="eastAsia"/>
                <w:color w:val="auto"/>
                <w:szCs w:val="21"/>
                <w:highlight w:val="none"/>
              </w:rPr>
              <w:t>抗弯荷载</w:t>
            </w:r>
            <w:r>
              <w:rPr>
                <w:rFonts w:hint="eastAsia"/>
                <w:color w:val="auto"/>
                <w:szCs w:val="21"/>
                <w:highlight w:val="none"/>
                <w:lang w:eastAsia="zh-CN"/>
              </w:rPr>
              <w:t>（</w:t>
            </w:r>
            <w:r>
              <w:rPr>
                <w:color w:val="auto"/>
                <w:szCs w:val="21"/>
                <w:highlight w:val="none"/>
              </w:rPr>
              <w:t>N</w:t>
            </w:r>
            <w:r>
              <w:rPr>
                <w:rFonts w:hint="eastAsia"/>
                <w:color w:val="auto"/>
                <w:szCs w:val="21"/>
                <w:highlight w:val="none"/>
                <w:lang w:eastAsia="zh-CN"/>
              </w:rPr>
              <w:t>）</w:t>
            </w:r>
          </w:p>
        </w:tc>
        <w:tc>
          <w:tcPr>
            <w:tcW w:w="1832" w:type="dxa"/>
            <w:vAlign w:val="center"/>
          </w:tcPr>
          <w:p>
            <w:pPr>
              <w:spacing w:before="100" w:after="100"/>
              <w:jc w:val="center"/>
              <w:rPr>
                <w:color w:val="auto"/>
                <w:szCs w:val="21"/>
                <w:highlight w:val="none"/>
              </w:rPr>
            </w:pPr>
            <w:r>
              <w:rPr>
                <w:rFonts w:hint="eastAsia"/>
                <w:color w:val="auto"/>
                <w:szCs w:val="21"/>
                <w:highlight w:val="none"/>
              </w:rPr>
              <w:t>宽度方向</w:t>
            </w:r>
            <w:r>
              <w:rPr>
                <w:color w:val="auto"/>
                <w:szCs w:val="21"/>
                <w:highlight w:val="none"/>
              </w:rPr>
              <w:t>≥160</w:t>
            </w:r>
          </w:p>
          <w:p>
            <w:pPr>
              <w:spacing w:before="100" w:after="100"/>
              <w:jc w:val="center"/>
              <w:rPr>
                <w:color w:val="auto"/>
                <w:szCs w:val="21"/>
                <w:highlight w:val="none"/>
              </w:rPr>
            </w:pPr>
            <w:r>
              <w:rPr>
                <w:rFonts w:hint="eastAsia"/>
                <w:color w:val="auto"/>
                <w:szCs w:val="21"/>
                <w:highlight w:val="none"/>
              </w:rPr>
              <w:t>长度方向</w:t>
            </w:r>
            <w:r>
              <w:rPr>
                <w:color w:val="auto"/>
                <w:szCs w:val="21"/>
                <w:highlight w:val="none"/>
              </w:rPr>
              <w:t>≥400</w:t>
            </w:r>
          </w:p>
        </w:tc>
        <w:tc>
          <w:tcPr>
            <w:tcW w:w="3492" w:type="dxa"/>
            <w:gridSpan w:val="2"/>
            <w:vAlign w:val="center"/>
          </w:tcPr>
          <w:p>
            <w:pPr>
              <w:spacing w:before="100" w:after="100"/>
              <w:jc w:val="center"/>
              <w:rPr>
                <w:color w:val="auto"/>
                <w:szCs w:val="21"/>
                <w:highlight w:val="none"/>
              </w:rPr>
            </w:pPr>
            <w:r>
              <w:rPr>
                <w:color w:val="auto"/>
                <w:szCs w:val="21"/>
                <w:highlight w:val="none"/>
              </w:rPr>
              <w:t>≥G</w:t>
            </w:r>
            <w:r>
              <w:rPr>
                <w:rFonts w:hint="eastAsia"/>
                <w:color w:val="auto"/>
                <w:szCs w:val="21"/>
                <w:highlight w:val="none"/>
              </w:rPr>
              <w:t>（板材重量）</w:t>
            </w:r>
          </w:p>
        </w:tc>
        <w:tc>
          <w:tcPr>
            <w:tcW w:w="1418" w:type="dxa"/>
            <w:vAlign w:val="center"/>
          </w:tcPr>
          <w:p>
            <w:pPr>
              <w:spacing w:before="100" w:after="100"/>
              <w:jc w:val="center"/>
              <w:rPr>
                <w:color w:val="auto"/>
                <w:szCs w:val="21"/>
                <w:highlight w:val="none"/>
              </w:rPr>
            </w:pPr>
            <w:r>
              <w:rPr>
                <w:color w:val="auto"/>
                <w:szCs w:val="21"/>
                <w:highlight w:val="none"/>
              </w:rPr>
              <w:t>GB/T 9775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7" w:hRule="atLeast"/>
          <w:jc w:val="center"/>
        </w:trPr>
        <w:tc>
          <w:tcPr>
            <w:tcW w:w="2644" w:type="dxa"/>
            <w:gridSpan w:val="2"/>
            <w:vAlign w:val="center"/>
          </w:tcPr>
          <w:p>
            <w:pPr>
              <w:spacing w:before="100" w:after="100"/>
              <w:jc w:val="center"/>
              <w:rPr>
                <w:rFonts w:hint="eastAsia"/>
                <w:color w:val="auto"/>
                <w:szCs w:val="21"/>
                <w:highlight w:val="none"/>
              </w:rPr>
            </w:pPr>
            <w:r>
              <w:rPr>
                <w:rFonts w:hint="eastAsia"/>
                <w:color w:val="auto"/>
                <w:szCs w:val="21"/>
                <w:highlight w:val="none"/>
              </w:rPr>
              <w:t>拉伸粘结强度</w:t>
            </w:r>
          </w:p>
          <w:p>
            <w:pPr>
              <w:spacing w:before="100" w:after="100"/>
              <w:jc w:val="center"/>
              <w:rPr>
                <w:color w:val="auto"/>
                <w:szCs w:val="21"/>
                <w:highlight w:val="none"/>
              </w:rPr>
            </w:pPr>
            <w:r>
              <w:rPr>
                <w:rFonts w:hint="eastAsia"/>
                <w:color w:val="auto"/>
                <w:szCs w:val="21"/>
                <w:highlight w:val="none"/>
                <w:lang w:eastAsia="zh-CN"/>
              </w:rPr>
              <w:t>（</w:t>
            </w:r>
            <w:r>
              <w:rPr>
                <w:color w:val="auto"/>
                <w:szCs w:val="21"/>
                <w:highlight w:val="none"/>
              </w:rPr>
              <w:t>MPa</w:t>
            </w:r>
            <w:r>
              <w:rPr>
                <w:rFonts w:hint="eastAsia"/>
                <w:color w:val="auto"/>
                <w:szCs w:val="21"/>
                <w:highlight w:val="none"/>
                <w:lang w:eastAsia="zh-CN"/>
              </w:rPr>
              <w:t>）</w:t>
            </w:r>
          </w:p>
        </w:tc>
        <w:tc>
          <w:tcPr>
            <w:tcW w:w="1832" w:type="dxa"/>
            <w:vAlign w:val="center"/>
          </w:tcPr>
          <w:p>
            <w:pPr>
              <w:spacing w:before="100" w:after="100"/>
              <w:jc w:val="center"/>
              <w:rPr>
                <w:color w:val="auto"/>
                <w:szCs w:val="21"/>
                <w:highlight w:val="none"/>
              </w:rPr>
            </w:pPr>
            <w:r>
              <w:rPr>
                <w:color w:val="auto"/>
                <w:szCs w:val="21"/>
                <w:highlight w:val="none"/>
              </w:rPr>
              <w:t>≥0.035</w:t>
            </w:r>
            <w:r>
              <w:rPr>
                <w:rFonts w:hint="eastAsia"/>
                <w:color w:val="auto"/>
                <w:szCs w:val="21"/>
                <w:highlight w:val="none"/>
              </w:rPr>
              <w:t>且纸面石膏与保温板界面破坏</w:t>
            </w:r>
          </w:p>
        </w:tc>
        <w:tc>
          <w:tcPr>
            <w:tcW w:w="3492" w:type="dxa"/>
            <w:gridSpan w:val="2"/>
            <w:vAlign w:val="center"/>
          </w:tcPr>
          <w:p>
            <w:pPr>
              <w:spacing w:before="100" w:after="100"/>
              <w:jc w:val="center"/>
              <w:rPr>
                <w:color w:val="auto"/>
                <w:szCs w:val="21"/>
                <w:highlight w:val="none"/>
              </w:rPr>
            </w:pPr>
            <w:r>
              <w:rPr>
                <w:color w:val="auto"/>
                <w:szCs w:val="21"/>
                <w:highlight w:val="none"/>
              </w:rPr>
              <w:t>≥0.10</w:t>
            </w:r>
            <w:r>
              <w:rPr>
                <w:rFonts w:hint="eastAsia"/>
                <w:color w:val="auto"/>
                <w:szCs w:val="21"/>
                <w:highlight w:val="none"/>
              </w:rPr>
              <w:t>，且保温层破坏</w:t>
            </w:r>
          </w:p>
        </w:tc>
        <w:tc>
          <w:tcPr>
            <w:tcW w:w="1418" w:type="dxa"/>
            <w:vAlign w:val="center"/>
          </w:tcPr>
          <w:p>
            <w:pPr>
              <w:spacing w:before="100" w:after="100"/>
              <w:jc w:val="center"/>
              <w:rPr>
                <w:color w:val="auto"/>
                <w:szCs w:val="21"/>
                <w:highlight w:val="none"/>
              </w:rPr>
            </w:pPr>
            <w:r>
              <w:rPr>
                <w:color w:val="auto"/>
                <w:szCs w:val="21"/>
                <w:highlight w:val="none"/>
              </w:rPr>
              <w:t>GB/T 30593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644" w:type="dxa"/>
            <w:gridSpan w:val="2"/>
            <w:vAlign w:val="center"/>
          </w:tcPr>
          <w:p>
            <w:pPr>
              <w:spacing w:before="100" w:after="100"/>
              <w:jc w:val="center"/>
              <w:rPr>
                <w:color w:val="auto"/>
                <w:szCs w:val="21"/>
                <w:highlight w:val="none"/>
              </w:rPr>
            </w:pPr>
            <w:r>
              <w:rPr>
                <w:rFonts w:hint="eastAsia"/>
                <w:color w:val="auto"/>
                <w:szCs w:val="21"/>
                <w:highlight w:val="none"/>
              </w:rPr>
              <w:t>抗冲击性</w:t>
            </w:r>
            <w:r>
              <w:rPr>
                <w:rFonts w:hint="eastAsia"/>
                <w:color w:val="auto"/>
                <w:szCs w:val="21"/>
                <w:highlight w:val="none"/>
                <w:lang w:eastAsia="zh-CN"/>
              </w:rPr>
              <w:t>（</w:t>
            </w:r>
            <w:r>
              <w:rPr>
                <w:rFonts w:hint="eastAsia"/>
                <w:color w:val="auto"/>
                <w:szCs w:val="21"/>
                <w:highlight w:val="none"/>
              </w:rPr>
              <w:t>次</w:t>
            </w:r>
            <w:r>
              <w:rPr>
                <w:rFonts w:hint="eastAsia"/>
                <w:color w:val="auto"/>
                <w:szCs w:val="21"/>
                <w:highlight w:val="none"/>
                <w:lang w:eastAsia="zh-CN"/>
              </w:rPr>
              <w:t>）</w:t>
            </w:r>
          </w:p>
        </w:tc>
        <w:tc>
          <w:tcPr>
            <w:tcW w:w="5324" w:type="dxa"/>
            <w:gridSpan w:val="3"/>
            <w:vAlign w:val="center"/>
          </w:tcPr>
          <w:p>
            <w:pPr>
              <w:spacing w:before="100" w:after="100"/>
              <w:jc w:val="center"/>
              <w:rPr>
                <w:color w:val="auto"/>
                <w:szCs w:val="21"/>
                <w:highlight w:val="none"/>
              </w:rPr>
            </w:pPr>
            <w:r>
              <w:rPr>
                <w:color w:val="auto"/>
                <w:szCs w:val="21"/>
                <w:highlight w:val="none"/>
              </w:rPr>
              <w:t>≥10</w:t>
            </w:r>
          </w:p>
        </w:tc>
        <w:tc>
          <w:tcPr>
            <w:tcW w:w="1418" w:type="dxa"/>
            <w:vAlign w:val="center"/>
          </w:tcPr>
          <w:p>
            <w:pPr>
              <w:spacing w:before="100" w:after="100"/>
              <w:jc w:val="center"/>
              <w:rPr>
                <w:color w:val="auto"/>
                <w:szCs w:val="21"/>
                <w:highlight w:val="none"/>
              </w:rPr>
            </w:pPr>
            <w:r>
              <w:rPr>
                <w:color w:val="auto"/>
                <w:szCs w:val="21"/>
                <w:highlight w:val="none"/>
              </w:rPr>
              <w:t>GB/T</w:t>
            </w:r>
            <w:r>
              <w:rPr>
                <w:rFonts w:hint="eastAsia"/>
                <w:color w:val="auto"/>
                <w:szCs w:val="21"/>
                <w:highlight w:val="none"/>
                <w:lang w:val="en-US" w:eastAsia="zh-CN"/>
              </w:rPr>
              <w:t xml:space="preserve"> </w:t>
            </w:r>
            <w:r>
              <w:rPr>
                <w:color w:val="auto"/>
                <w:szCs w:val="21"/>
                <w:highlight w:val="none"/>
              </w:rPr>
              <w:t>30593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644" w:type="dxa"/>
            <w:gridSpan w:val="2"/>
            <w:tcBorders>
              <w:left w:val="single" w:color="auto" w:sz="4" w:space="0"/>
              <w:right w:val="single" w:color="auto" w:sz="4" w:space="0"/>
            </w:tcBorders>
            <w:vAlign w:val="center"/>
          </w:tcPr>
          <w:p>
            <w:pPr>
              <w:spacing w:before="100" w:after="100"/>
              <w:jc w:val="center"/>
              <w:rPr>
                <w:color w:val="auto"/>
                <w:szCs w:val="21"/>
                <w:highlight w:val="none"/>
              </w:rPr>
            </w:pPr>
            <w:r>
              <w:rPr>
                <w:rFonts w:hint="eastAsia"/>
                <w:color w:val="auto"/>
                <w:szCs w:val="21"/>
                <w:highlight w:val="none"/>
              </w:rPr>
              <w:t>面板收缩率</w:t>
            </w:r>
            <w:r>
              <w:rPr>
                <w:rFonts w:hint="eastAsia"/>
                <w:color w:val="auto"/>
                <w:szCs w:val="21"/>
                <w:highlight w:val="none"/>
                <w:lang w:eastAsia="zh-CN"/>
              </w:rPr>
              <w:t>（</w:t>
            </w:r>
            <w:r>
              <w:rPr>
                <w:color w:val="auto"/>
                <w:szCs w:val="21"/>
                <w:highlight w:val="none"/>
              </w:rPr>
              <w:t>%</w:t>
            </w:r>
            <w:r>
              <w:rPr>
                <w:rFonts w:hint="eastAsia"/>
                <w:color w:val="auto"/>
                <w:szCs w:val="21"/>
                <w:highlight w:val="none"/>
                <w:lang w:eastAsia="zh-CN"/>
              </w:rPr>
              <w:t>）</w:t>
            </w:r>
          </w:p>
        </w:tc>
        <w:tc>
          <w:tcPr>
            <w:tcW w:w="1832" w:type="dxa"/>
            <w:tcBorders>
              <w:left w:val="single" w:color="auto" w:sz="4" w:space="0"/>
            </w:tcBorders>
            <w:vAlign w:val="center"/>
          </w:tcPr>
          <w:p>
            <w:pPr>
              <w:spacing w:before="100" w:after="100"/>
              <w:jc w:val="center"/>
              <w:rPr>
                <w:color w:val="auto"/>
                <w:szCs w:val="21"/>
                <w:highlight w:val="none"/>
              </w:rPr>
            </w:pPr>
            <w:r>
              <w:rPr>
                <w:color w:val="auto"/>
                <w:szCs w:val="21"/>
                <w:highlight w:val="none"/>
              </w:rPr>
              <w:t>-</w:t>
            </w:r>
          </w:p>
        </w:tc>
        <w:tc>
          <w:tcPr>
            <w:tcW w:w="3492" w:type="dxa"/>
            <w:gridSpan w:val="2"/>
            <w:tcBorders>
              <w:right w:val="single" w:color="auto" w:sz="4" w:space="0"/>
            </w:tcBorders>
            <w:vAlign w:val="center"/>
          </w:tcPr>
          <w:p>
            <w:pPr>
              <w:spacing w:before="100" w:after="100"/>
              <w:jc w:val="center"/>
              <w:rPr>
                <w:color w:val="auto"/>
                <w:szCs w:val="21"/>
                <w:highlight w:val="none"/>
              </w:rPr>
            </w:pPr>
            <w:r>
              <w:rPr>
                <w:color w:val="auto"/>
                <w:szCs w:val="21"/>
                <w:highlight w:val="none"/>
              </w:rPr>
              <w:t>≤0.06</w:t>
            </w:r>
          </w:p>
        </w:tc>
        <w:tc>
          <w:tcPr>
            <w:tcW w:w="1418" w:type="dxa"/>
            <w:tcBorders>
              <w:left w:val="single" w:color="auto" w:sz="4" w:space="0"/>
              <w:right w:val="single" w:color="auto" w:sz="4" w:space="0"/>
            </w:tcBorders>
            <w:vAlign w:val="center"/>
          </w:tcPr>
          <w:p>
            <w:pPr>
              <w:spacing w:before="100" w:after="100"/>
              <w:jc w:val="center"/>
              <w:rPr>
                <w:color w:val="auto"/>
                <w:szCs w:val="21"/>
                <w:highlight w:val="none"/>
              </w:rPr>
            </w:pPr>
            <w:r>
              <w:rPr>
                <w:color w:val="auto"/>
                <w:szCs w:val="21"/>
                <w:highlight w:val="none"/>
              </w:rPr>
              <w:t>GB/T 7019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2" w:hRule="atLeast"/>
          <w:jc w:val="center"/>
        </w:trPr>
        <w:tc>
          <w:tcPr>
            <w:tcW w:w="2644" w:type="dxa"/>
            <w:gridSpan w:val="2"/>
            <w:tcBorders>
              <w:left w:val="single" w:color="auto" w:sz="4" w:space="0"/>
              <w:right w:val="single" w:color="auto" w:sz="4" w:space="0"/>
            </w:tcBorders>
            <w:vAlign w:val="center"/>
          </w:tcPr>
          <w:p>
            <w:pPr>
              <w:spacing w:before="100" w:after="100"/>
              <w:jc w:val="center"/>
              <w:rPr>
                <w:rFonts w:hint="eastAsia"/>
                <w:color w:val="auto"/>
                <w:szCs w:val="21"/>
                <w:highlight w:val="none"/>
              </w:rPr>
            </w:pPr>
            <w:r>
              <w:rPr>
                <w:rFonts w:hint="eastAsia"/>
                <w:color w:val="auto"/>
                <w:szCs w:val="21"/>
                <w:highlight w:val="none"/>
              </w:rPr>
              <w:t>保温材料导热系数</w:t>
            </w:r>
          </w:p>
          <w:p>
            <w:pPr>
              <w:spacing w:before="100" w:after="100"/>
              <w:jc w:val="center"/>
              <w:rPr>
                <w:rFonts w:hint="eastAsia" w:eastAsia="宋体"/>
                <w:color w:val="auto"/>
                <w:szCs w:val="21"/>
                <w:highlight w:val="none"/>
                <w:lang w:val="en-US" w:eastAsia="zh-CN"/>
              </w:rPr>
            </w:pPr>
            <w:r>
              <w:rPr>
                <w:color w:val="auto"/>
                <w:szCs w:val="21"/>
                <w:highlight w:val="none"/>
              </w:rPr>
              <w:t>[W/</w:t>
            </w:r>
            <w:r>
              <w:rPr>
                <w:rFonts w:hint="eastAsia"/>
                <w:color w:val="auto"/>
                <w:szCs w:val="21"/>
                <w:highlight w:val="none"/>
              </w:rPr>
              <w:t>（</w:t>
            </w:r>
            <w:r>
              <w:rPr>
                <w:color w:val="auto"/>
                <w:szCs w:val="21"/>
                <w:highlight w:val="none"/>
              </w:rPr>
              <w:t>m</w:t>
            </w:r>
            <w:r>
              <w:rPr>
                <w:rFonts w:hint="eastAsia"/>
                <w:color w:val="auto"/>
                <w:szCs w:val="21"/>
                <w:highlight w:val="none"/>
              </w:rPr>
              <w:t>·</w:t>
            </w:r>
            <w:r>
              <w:rPr>
                <w:color w:val="auto"/>
                <w:szCs w:val="21"/>
                <w:highlight w:val="none"/>
              </w:rPr>
              <w:t>K</w:t>
            </w:r>
            <w:r>
              <w:rPr>
                <w:rFonts w:hint="eastAsia"/>
                <w:color w:val="auto"/>
                <w:szCs w:val="21"/>
                <w:highlight w:val="none"/>
              </w:rPr>
              <w:t>）</w:t>
            </w:r>
            <w:r>
              <w:rPr>
                <w:rFonts w:hint="eastAsia"/>
                <w:color w:val="auto"/>
                <w:szCs w:val="21"/>
                <w:highlight w:val="none"/>
                <w:lang w:val="en-US" w:eastAsia="zh-CN"/>
              </w:rPr>
              <w:t>]</w:t>
            </w:r>
          </w:p>
        </w:tc>
        <w:tc>
          <w:tcPr>
            <w:tcW w:w="5324" w:type="dxa"/>
            <w:gridSpan w:val="3"/>
            <w:tcBorders>
              <w:left w:val="single" w:color="auto" w:sz="4" w:space="0"/>
              <w:right w:val="single" w:color="auto" w:sz="4" w:space="0"/>
            </w:tcBorders>
            <w:vAlign w:val="center"/>
          </w:tcPr>
          <w:p>
            <w:pPr>
              <w:spacing w:before="100" w:after="100"/>
              <w:jc w:val="center"/>
              <w:rPr>
                <w:color w:val="auto"/>
                <w:szCs w:val="21"/>
                <w:highlight w:val="none"/>
              </w:rPr>
            </w:pPr>
            <w:r>
              <w:rPr>
                <w:color w:val="auto"/>
                <w:szCs w:val="21"/>
                <w:highlight w:val="none"/>
              </w:rPr>
              <w:t>应符合本标准规定</w:t>
            </w:r>
          </w:p>
        </w:tc>
        <w:tc>
          <w:tcPr>
            <w:tcW w:w="1418" w:type="dxa"/>
            <w:tcBorders>
              <w:left w:val="single" w:color="auto" w:sz="4" w:space="0"/>
              <w:right w:val="single" w:color="auto" w:sz="4" w:space="0"/>
            </w:tcBorders>
            <w:vAlign w:val="center"/>
          </w:tcPr>
          <w:p>
            <w:pPr>
              <w:spacing w:before="100" w:after="100"/>
              <w:jc w:val="center"/>
              <w:rPr>
                <w:color w:val="auto"/>
                <w:szCs w:val="21"/>
                <w:highlight w:val="none"/>
              </w:rPr>
            </w:pPr>
            <w:r>
              <w:rPr>
                <w:color w:val="auto"/>
                <w:szCs w:val="21"/>
                <w:highlight w:val="none"/>
              </w:rPr>
              <w:t>GB/T 10294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644" w:type="dxa"/>
            <w:gridSpan w:val="2"/>
            <w:tcBorders>
              <w:left w:val="single" w:color="auto" w:sz="4" w:space="0"/>
              <w:right w:val="single" w:color="auto" w:sz="4" w:space="0"/>
            </w:tcBorders>
            <w:vAlign w:val="center"/>
          </w:tcPr>
          <w:p>
            <w:pPr>
              <w:spacing w:before="100" w:after="100"/>
              <w:jc w:val="center"/>
              <w:rPr>
                <w:color w:val="auto"/>
                <w:szCs w:val="21"/>
                <w:highlight w:val="none"/>
              </w:rPr>
            </w:pPr>
            <w:r>
              <w:rPr>
                <w:rFonts w:hint="eastAsia"/>
                <w:color w:val="auto"/>
                <w:szCs w:val="21"/>
                <w:highlight w:val="none"/>
              </w:rPr>
              <w:t>保温材料燃烧性能</w:t>
            </w:r>
          </w:p>
        </w:tc>
        <w:tc>
          <w:tcPr>
            <w:tcW w:w="5324" w:type="dxa"/>
            <w:gridSpan w:val="3"/>
            <w:tcBorders>
              <w:left w:val="single" w:color="auto" w:sz="4" w:space="0"/>
              <w:right w:val="single" w:color="auto" w:sz="4" w:space="0"/>
            </w:tcBorders>
            <w:vAlign w:val="center"/>
          </w:tcPr>
          <w:p>
            <w:pPr>
              <w:spacing w:before="100" w:after="100"/>
              <w:jc w:val="center"/>
              <w:rPr>
                <w:color w:val="auto"/>
                <w:szCs w:val="21"/>
                <w:highlight w:val="none"/>
              </w:rPr>
            </w:pPr>
            <w:r>
              <w:rPr>
                <w:color w:val="auto"/>
                <w:szCs w:val="21"/>
                <w:highlight w:val="none"/>
              </w:rPr>
              <w:t>应</w:t>
            </w:r>
            <w:r>
              <w:rPr>
                <w:rFonts w:hint="eastAsia"/>
                <w:color w:val="auto"/>
                <w:szCs w:val="21"/>
                <w:highlight w:val="none"/>
              </w:rPr>
              <w:t>不低于B</w:t>
            </w:r>
            <w:r>
              <w:rPr>
                <w:color w:val="auto"/>
                <w:szCs w:val="21"/>
                <w:highlight w:val="none"/>
              </w:rPr>
              <w:t>1级</w:t>
            </w:r>
          </w:p>
        </w:tc>
        <w:tc>
          <w:tcPr>
            <w:tcW w:w="1418" w:type="dxa"/>
            <w:tcBorders>
              <w:left w:val="single" w:color="auto" w:sz="4" w:space="0"/>
              <w:right w:val="single" w:color="auto" w:sz="4" w:space="0"/>
            </w:tcBorders>
            <w:vAlign w:val="center"/>
          </w:tcPr>
          <w:p>
            <w:pPr>
              <w:spacing w:before="100" w:after="100"/>
              <w:jc w:val="center"/>
              <w:rPr>
                <w:color w:val="auto"/>
                <w:szCs w:val="21"/>
                <w:highlight w:val="none"/>
              </w:rPr>
            </w:pPr>
            <w:r>
              <w:rPr>
                <w:color w:val="auto"/>
                <w:szCs w:val="21"/>
                <w:highlight w:val="none"/>
              </w:rPr>
              <w:t>GB 8624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5" w:hRule="atLeast"/>
          <w:jc w:val="center"/>
        </w:trPr>
        <w:tc>
          <w:tcPr>
            <w:tcW w:w="2644" w:type="dxa"/>
            <w:gridSpan w:val="2"/>
            <w:tcBorders>
              <w:left w:val="single" w:color="auto" w:sz="4" w:space="0"/>
              <w:right w:val="single" w:color="auto" w:sz="4" w:space="0"/>
            </w:tcBorders>
          </w:tcPr>
          <w:p>
            <w:pPr>
              <w:spacing w:before="100" w:after="100"/>
              <w:jc w:val="center"/>
              <w:rPr>
                <w:color w:val="auto"/>
                <w:szCs w:val="21"/>
                <w:highlight w:val="none"/>
              </w:rPr>
            </w:pPr>
            <w:r>
              <w:rPr>
                <w:rFonts w:hint="eastAsia"/>
                <w:color w:val="auto"/>
                <w:szCs w:val="21"/>
                <w:highlight w:val="none"/>
              </w:rPr>
              <w:t>甲醛释放量（干燥器法）</w:t>
            </w:r>
            <w:r>
              <w:rPr>
                <w:rFonts w:hint="eastAsia"/>
                <w:color w:val="auto"/>
                <w:szCs w:val="21"/>
                <w:highlight w:val="none"/>
                <w:lang w:eastAsia="zh-CN"/>
              </w:rPr>
              <w:t>（</w:t>
            </w:r>
            <w:r>
              <w:rPr>
                <w:color w:val="auto"/>
                <w:szCs w:val="21"/>
                <w:highlight w:val="none"/>
              </w:rPr>
              <w:t>mg/L</w:t>
            </w:r>
            <w:r>
              <w:rPr>
                <w:rFonts w:hint="eastAsia"/>
                <w:color w:val="auto"/>
                <w:szCs w:val="21"/>
                <w:highlight w:val="none"/>
                <w:lang w:eastAsia="zh-CN"/>
              </w:rPr>
              <w:t>）</w:t>
            </w:r>
          </w:p>
        </w:tc>
        <w:tc>
          <w:tcPr>
            <w:tcW w:w="5324" w:type="dxa"/>
            <w:gridSpan w:val="3"/>
            <w:tcBorders>
              <w:left w:val="single" w:color="auto" w:sz="4" w:space="0"/>
              <w:right w:val="single" w:color="auto" w:sz="4" w:space="0"/>
            </w:tcBorders>
          </w:tcPr>
          <w:p>
            <w:pPr>
              <w:spacing w:before="100" w:after="100"/>
              <w:jc w:val="center"/>
              <w:rPr>
                <w:color w:val="auto"/>
                <w:szCs w:val="21"/>
                <w:highlight w:val="none"/>
              </w:rPr>
            </w:pPr>
            <w:r>
              <w:rPr>
                <w:color w:val="auto"/>
                <w:szCs w:val="21"/>
                <w:highlight w:val="none"/>
              </w:rPr>
              <w:t>≤1.5</w:t>
            </w:r>
          </w:p>
        </w:tc>
        <w:tc>
          <w:tcPr>
            <w:tcW w:w="1418" w:type="dxa"/>
            <w:tcBorders>
              <w:left w:val="single" w:color="auto" w:sz="4" w:space="0"/>
              <w:right w:val="single" w:color="auto" w:sz="4" w:space="0"/>
            </w:tcBorders>
          </w:tcPr>
          <w:p>
            <w:pPr>
              <w:spacing w:before="100" w:after="100"/>
              <w:jc w:val="center"/>
              <w:rPr>
                <w:color w:val="auto"/>
                <w:szCs w:val="21"/>
                <w:highlight w:val="none"/>
              </w:rPr>
            </w:pPr>
            <w:r>
              <w:rPr>
                <w:color w:val="auto"/>
                <w:szCs w:val="21"/>
                <w:highlight w:val="none"/>
              </w:rPr>
              <w:t>GB 18580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8" w:hRule="atLeast"/>
          <w:jc w:val="center"/>
        </w:trPr>
        <w:tc>
          <w:tcPr>
            <w:tcW w:w="1580" w:type="dxa"/>
            <w:vMerge w:val="restart"/>
            <w:vAlign w:val="center"/>
          </w:tcPr>
          <w:p>
            <w:pPr>
              <w:spacing w:before="100" w:after="100"/>
              <w:jc w:val="center"/>
              <w:rPr>
                <w:color w:val="auto"/>
                <w:szCs w:val="21"/>
                <w:highlight w:val="none"/>
              </w:rPr>
            </w:pPr>
            <w:r>
              <w:rPr>
                <w:rFonts w:hint="eastAsia"/>
                <w:color w:val="auto"/>
                <w:szCs w:val="21"/>
                <w:highlight w:val="none"/>
              </w:rPr>
              <w:t>天然放射性核素限量</w:t>
            </w:r>
          </w:p>
        </w:tc>
        <w:tc>
          <w:tcPr>
            <w:tcW w:w="1064" w:type="dxa"/>
            <w:vAlign w:val="center"/>
          </w:tcPr>
          <w:p>
            <w:pPr>
              <w:spacing w:before="100" w:after="100"/>
              <w:jc w:val="center"/>
              <w:rPr>
                <w:color w:val="auto"/>
                <w:szCs w:val="21"/>
                <w:highlight w:val="none"/>
              </w:rPr>
            </w:pPr>
            <w:r>
              <w:rPr>
                <w:color w:val="auto"/>
                <w:szCs w:val="21"/>
                <w:highlight w:val="none"/>
              </w:rPr>
              <w:t>I</w:t>
            </w:r>
            <w:r>
              <w:rPr>
                <w:color w:val="auto"/>
                <w:szCs w:val="21"/>
                <w:highlight w:val="none"/>
                <w:vertAlign w:val="subscript"/>
              </w:rPr>
              <w:t>Ra</w:t>
            </w:r>
          </w:p>
        </w:tc>
        <w:tc>
          <w:tcPr>
            <w:tcW w:w="5324" w:type="dxa"/>
            <w:gridSpan w:val="3"/>
            <w:vAlign w:val="center"/>
          </w:tcPr>
          <w:p>
            <w:pPr>
              <w:spacing w:before="100" w:after="100"/>
              <w:jc w:val="center"/>
              <w:rPr>
                <w:color w:val="auto"/>
                <w:szCs w:val="21"/>
                <w:highlight w:val="none"/>
              </w:rPr>
            </w:pPr>
            <w:r>
              <w:rPr>
                <w:color w:val="auto"/>
                <w:szCs w:val="21"/>
                <w:highlight w:val="none"/>
              </w:rPr>
              <w:t>≤1.0</w:t>
            </w:r>
          </w:p>
        </w:tc>
        <w:tc>
          <w:tcPr>
            <w:tcW w:w="1418" w:type="dxa"/>
            <w:vMerge w:val="restart"/>
            <w:vAlign w:val="center"/>
          </w:tcPr>
          <w:p>
            <w:pPr>
              <w:spacing w:before="100" w:after="100"/>
              <w:jc w:val="center"/>
              <w:rPr>
                <w:color w:val="auto"/>
                <w:szCs w:val="21"/>
                <w:highlight w:val="none"/>
              </w:rPr>
            </w:pPr>
            <w:r>
              <w:rPr>
                <w:color w:val="auto"/>
                <w:szCs w:val="21"/>
                <w:highlight w:val="none"/>
              </w:rPr>
              <w:t>GB 6566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580" w:type="dxa"/>
            <w:vMerge w:val="continue"/>
            <w:vAlign w:val="center"/>
          </w:tcPr>
          <w:p>
            <w:pPr>
              <w:spacing w:before="100" w:after="100"/>
              <w:rPr>
                <w:color w:val="auto"/>
                <w:szCs w:val="21"/>
                <w:highlight w:val="none"/>
              </w:rPr>
            </w:pPr>
          </w:p>
        </w:tc>
        <w:tc>
          <w:tcPr>
            <w:tcW w:w="1064" w:type="dxa"/>
            <w:vAlign w:val="center"/>
          </w:tcPr>
          <w:p>
            <w:pPr>
              <w:spacing w:before="100" w:after="100"/>
              <w:jc w:val="center"/>
              <w:rPr>
                <w:color w:val="auto"/>
                <w:szCs w:val="21"/>
                <w:highlight w:val="none"/>
              </w:rPr>
            </w:pPr>
            <w:r>
              <w:rPr>
                <w:color w:val="auto"/>
                <w:szCs w:val="21"/>
                <w:highlight w:val="none"/>
              </w:rPr>
              <w:t>Ir</w:t>
            </w:r>
          </w:p>
        </w:tc>
        <w:tc>
          <w:tcPr>
            <w:tcW w:w="5324" w:type="dxa"/>
            <w:gridSpan w:val="3"/>
            <w:vAlign w:val="center"/>
          </w:tcPr>
          <w:p>
            <w:pPr>
              <w:spacing w:before="100" w:after="100"/>
              <w:jc w:val="center"/>
              <w:rPr>
                <w:color w:val="auto"/>
                <w:szCs w:val="21"/>
                <w:highlight w:val="none"/>
              </w:rPr>
            </w:pPr>
            <w:r>
              <w:rPr>
                <w:color w:val="auto"/>
                <w:szCs w:val="21"/>
                <w:highlight w:val="none"/>
              </w:rPr>
              <w:t>≤1.0</w:t>
            </w:r>
          </w:p>
        </w:tc>
        <w:tc>
          <w:tcPr>
            <w:tcW w:w="1418" w:type="dxa"/>
            <w:vMerge w:val="continue"/>
            <w:vAlign w:val="center"/>
          </w:tcPr>
          <w:p>
            <w:pPr>
              <w:spacing w:before="100" w:after="100"/>
              <w:jc w:val="center"/>
              <w:rPr>
                <w:color w:val="auto"/>
                <w:szCs w:val="21"/>
                <w:highlight w:val="none"/>
              </w:rPr>
            </w:pPr>
          </w:p>
        </w:tc>
      </w:tr>
    </w:tbl>
    <w:p>
      <w:pPr>
        <w:ind w:firstLine="210" w:firstLineChars="100"/>
        <w:rPr>
          <w:color w:val="auto"/>
          <w:szCs w:val="21"/>
          <w:highlight w:val="none"/>
        </w:rPr>
      </w:pPr>
      <w:r>
        <w:rPr>
          <w:rFonts w:hint="eastAsia"/>
          <w:color w:val="auto"/>
          <w:szCs w:val="21"/>
          <w:highlight w:val="none"/>
        </w:rPr>
        <w:t>注：当纸面石膏板的断面荷载、无石棉硅酸钙板及无石棉纤维水泥平板的抗折强度满足国家现行有关产品标准时，可不做抗弯荷载试验。</w:t>
      </w:r>
    </w:p>
    <w:p>
      <w:pPr>
        <w:spacing w:line="500" w:lineRule="exact"/>
        <w:jc w:val="left"/>
        <w:rPr>
          <w:rFonts w:hAnsi="宋体"/>
          <w:b/>
          <w:color w:val="auto"/>
          <w:sz w:val="24"/>
          <w:highlight w:val="none"/>
        </w:rPr>
      </w:pPr>
      <w:r>
        <w:rPr>
          <w:rFonts w:hint="eastAsia" w:eastAsia="方正仿宋_GBK"/>
          <w:color w:val="auto"/>
          <w:sz w:val="24"/>
          <w:highlight w:val="none"/>
        </w:rPr>
        <w:t>【条文说明】</w:t>
      </w:r>
      <w:r>
        <w:rPr>
          <w:rFonts w:hint="eastAsia" w:eastAsia="方正仿宋_GBK"/>
          <w:color w:val="auto"/>
          <w:sz w:val="24"/>
          <w:highlight w:val="none"/>
          <w:lang w:val="en-US" w:eastAsia="zh-CN"/>
        </w:rPr>
        <w:t>4.3.1</w:t>
      </w:r>
      <w:r>
        <w:rPr>
          <w:rFonts w:hint="eastAsia" w:ascii="方正楷体_GBK" w:hAnsi="方正楷体_GBK" w:eastAsia="方正楷体_GBK" w:cs="方正楷体_GBK"/>
          <w:color w:val="auto"/>
          <w:sz w:val="24"/>
          <w:highlight w:val="none"/>
        </w:rPr>
        <w:t>本条主要依据国家现行标准</w:t>
      </w:r>
      <w:r>
        <w:rPr>
          <w:rFonts w:hint="eastAsia" w:asciiTheme="majorEastAsia" w:hAnsiTheme="majorEastAsia" w:eastAsiaTheme="majorEastAsia"/>
          <w:color w:val="auto"/>
          <w:sz w:val="24"/>
          <w:szCs w:val="24"/>
          <w:highlight w:val="none"/>
        </w:rPr>
        <w:t>《建筑防火通用规范》G</w:t>
      </w:r>
      <w:r>
        <w:rPr>
          <w:rFonts w:asciiTheme="majorEastAsia" w:hAnsiTheme="majorEastAsia" w:eastAsiaTheme="majorEastAsia"/>
          <w:color w:val="auto"/>
          <w:sz w:val="24"/>
          <w:szCs w:val="24"/>
          <w:highlight w:val="none"/>
        </w:rPr>
        <w:t>B</w:t>
      </w:r>
      <w:r>
        <w:rPr>
          <w:rFonts w:hint="eastAsia" w:asciiTheme="majorEastAsia" w:hAnsiTheme="majorEastAsia" w:eastAsiaTheme="majorEastAsia"/>
          <w:color w:val="auto"/>
          <w:sz w:val="24"/>
          <w:szCs w:val="24"/>
          <w:highlight w:val="none"/>
          <w:lang w:val="en-US" w:eastAsia="zh-CN"/>
        </w:rPr>
        <w:t xml:space="preserve"> </w:t>
      </w:r>
      <w:r>
        <w:rPr>
          <w:rFonts w:asciiTheme="majorEastAsia" w:hAnsiTheme="majorEastAsia" w:eastAsiaTheme="majorEastAsia"/>
          <w:color w:val="auto"/>
          <w:sz w:val="24"/>
          <w:szCs w:val="24"/>
          <w:highlight w:val="none"/>
        </w:rPr>
        <w:t>55037、</w:t>
      </w:r>
      <w:r>
        <w:rPr>
          <w:rFonts w:hint="eastAsia" w:ascii="方正楷体_GBK" w:hAnsi="方正楷体_GBK" w:eastAsia="方正楷体_GBK" w:cs="方正楷体_GBK"/>
          <w:color w:val="auto"/>
          <w:sz w:val="24"/>
          <w:highlight w:val="none"/>
        </w:rPr>
        <w:t>《外墙内保温复合板系统》GB/T</w:t>
      </w:r>
      <w:r>
        <w:rPr>
          <w:rFonts w:hint="eastAsia" w:ascii="方正楷体_GBK" w:hAnsi="方正楷体_GBK" w:eastAsia="方正楷体_GBK" w:cs="方正楷体_GBK"/>
          <w:color w:val="auto"/>
          <w:sz w:val="24"/>
          <w:highlight w:val="none"/>
          <w:lang w:val="en-US" w:eastAsia="zh-CN"/>
        </w:rPr>
        <w:t xml:space="preserve"> </w:t>
      </w:r>
      <w:r>
        <w:rPr>
          <w:rFonts w:hint="eastAsia" w:ascii="方正楷体_GBK" w:hAnsi="方正楷体_GBK" w:eastAsia="方正楷体_GBK" w:cs="方正楷体_GBK"/>
          <w:color w:val="auto"/>
          <w:sz w:val="24"/>
          <w:highlight w:val="none"/>
        </w:rPr>
        <w:t>30593和《外墙内保温工程技术规程》JGJ/T</w:t>
      </w:r>
      <w:r>
        <w:rPr>
          <w:rFonts w:hint="eastAsia" w:ascii="方正楷体_GBK" w:hAnsi="方正楷体_GBK" w:eastAsia="方正楷体_GBK" w:cs="方正楷体_GBK"/>
          <w:color w:val="auto"/>
          <w:sz w:val="24"/>
          <w:highlight w:val="none"/>
          <w:lang w:val="en-US" w:eastAsia="zh-CN"/>
        </w:rPr>
        <w:t xml:space="preserve"> </w:t>
      </w:r>
      <w:r>
        <w:rPr>
          <w:rFonts w:hint="eastAsia" w:ascii="方正楷体_GBK" w:hAnsi="方正楷体_GBK" w:eastAsia="方正楷体_GBK" w:cs="方正楷体_GBK"/>
          <w:color w:val="auto"/>
          <w:sz w:val="24"/>
          <w:highlight w:val="none"/>
        </w:rPr>
        <w:t>261，对挤塑聚苯乙烯保温复合板的尺寸规格、外观质量、规格尺寸、物理化学性能等作出规定。</w:t>
      </w:r>
    </w:p>
    <w:p>
      <w:pPr>
        <w:spacing w:line="500" w:lineRule="exact"/>
        <w:outlineLvl w:val="2"/>
        <w:rPr>
          <w:rFonts w:hAnsi="宋体"/>
          <w:color w:val="auto"/>
          <w:sz w:val="24"/>
          <w:highlight w:val="none"/>
        </w:rPr>
      </w:pPr>
      <w:r>
        <w:rPr>
          <w:rFonts w:hint="eastAsia" w:hAnsi="宋体"/>
          <w:b/>
          <w:color w:val="auto"/>
          <w:sz w:val="24"/>
          <w:highlight w:val="none"/>
        </w:rPr>
        <w:t>4.3</w:t>
      </w:r>
      <w:r>
        <w:rPr>
          <w:rFonts w:hAnsi="宋体"/>
          <w:b/>
          <w:color w:val="auto"/>
          <w:sz w:val="24"/>
          <w:highlight w:val="none"/>
        </w:rPr>
        <w:t xml:space="preserve">.2 </w:t>
      </w:r>
      <w:r>
        <w:rPr>
          <w:rFonts w:hAnsi="宋体"/>
          <w:color w:val="auto"/>
          <w:sz w:val="24"/>
          <w:highlight w:val="none"/>
        </w:rPr>
        <w:t>内保温复合板</w:t>
      </w:r>
      <w:r>
        <w:rPr>
          <w:rFonts w:hint="eastAsia" w:hAnsi="宋体"/>
          <w:color w:val="auto"/>
          <w:sz w:val="24"/>
          <w:highlight w:val="none"/>
        </w:rPr>
        <w:t>用难燃型挤塑聚苯板（XPS）应为不带表皮（</w:t>
      </w:r>
      <w:r>
        <w:rPr>
          <w:rFonts w:hAnsi="宋体"/>
          <w:color w:val="auto"/>
          <w:sz w:val="24"/>
          <w:highlight w:val="none"/>
        </w:rPr>
        <w:t>W</w:t>
      </w:r>
      <w:r>
        <w:rPr>
          <w:rFonts w:hint="eastAsia" w:hAnsi="宋体"/>
          <w:color w:val="auto"/>
          <w:sz w:val="24"/>
          <w:highlight w:val="none"/>
        </w:rPr>
        <w:t>型）的类型，其性能除应符合表4.3</w:t>
      </w:r>
      <w:r>
        <w:rPr>
          <w:rFonts w:hAnsi="宋体"/>
          <w:color w:val="auto"/>
          <w:sz w:val="24"/>
          <w:highlight w:val="none"/>
        </w:rPr>
        <w:t>.2</w:t>
      </w:r>
      <w:r>
        <w:rPr>
          <w:rFonts w:hint="eastAsia" w:hAnsi="宋体"/>
          <w:color w:val="auto"/>
          <w:sz w:val="24"/>
          <w:highlight w:val="none"/>
        </w:rPr>
        <w:t>的规定外，还应符合《绝热用挤塑聚苯乙烯泡沫塑料（</w:t>
      </w:r>
      <w:r>
        <w:rPr>
          <w:rFonts w:hAnsi="宋体"/>
          <w:color w:val="auto"/>
          <w:sz w:val="24"/>
          <w:highlight w:val="none"/>
        </w:rPr>
        <w:t>XPS</w:t>
      </w:r>
      <w:r>
        <w:rPr>
          <w:rFonts w:hint="eastAsia" w:hAnsi="宋体"/>
          <w:color w:val="auto"/>
          <w:sz w:val="24"/>
          <w:highlight w:val="none"/>
        </w:rPr>
        <w:t>）》</w:t>
      </w:r>
      <w:r>
        <w:rPr>
          <w:rFonts w:hAnsi="宋体"/>
          <w:color w:val="auto"/>
          <w:sz w:val="24"/>
          <w:highlight w:val="none"/>
        </w:rPr>
        <w:t>GB/T</w:t>
      </w:r>
      <w:r>
        <w:rPr>
          <w:rFonts w:hint="eastAsia" w:hAnsi="宋体"/>
          <w:color w:val="auto"/>
          <w:sz w:val="24"/>
          <w:highlight w:val="none"/>
          <w:lang w:val="en-US" w:eastAsia="zh-CN"/>
        </w:rPr>
        <w:t xml:space="preserve"> </w:t>
      </w:r>
      <w:r>
        <w:rPr>
          <w:rFonts w:hAnsi="宋体"/>
          <w:color w:val="auto"/>
          <w:sz w:val="24"/>
          <w:highlight w:val="none"/>
        </w:rPr>
        <w:t>10801.2</w:t>
      </w:r>
      <w:r>
        <w:rPr>
          <w:rFonts w:hint="eastAsia" w:hAnsi="宋体"/>
          <w:color w:val="auto"/>
          <w:sz w:val="24"/>
          <w:highlight w:val="none"/>
        </w:rPr>
        <w:t>的相关规定。</w:t>
      </w:r>
    </w:p>
    <w:p>
      <w:pPr>
        <w:spacing w:line="500" w:lineRule="exact"/>
        <w:jc w:val="center"/>
        <w:rPr>
          <w:b/>
          <w:color w:val="auto"/>
          <w:highlight w:val="none"/>
        </w:rPr>
      </w:pPr>
      <w:r>
        <w:rPr>
          <w:rFonts w:hint="eastAsia" w:hAnsi="宋体"/>
          <w:b/>
          <w:color w:val="auto"/>
          <w:highlight w:val="none"/>
        </w:rPr>
        <w:t>表</w:t>
      </w:r>
      <w:r>
        <w:rPr>
          <w:rFonts w:hint="eastAsia"/>
          <w:b/>
          <w:color w:val="auto"/>
          <w:highlight w:val="none"/>
        </w:rPr>
        <w:t>4.3</w:t>
      </w:r>
      <w:r>
        <w:rPr>
          <w:b/>
          <w:color w:val="auto"/>
          <w:highlight w:val="none"/>
        </w:rPr>
        <w:t>.2难燃型</w:t>
      </w:r>
      <w:r>
        <w:rPr>
          <w:rFonts w:hint="eastAsia" w:hAnsi="宋体"/>
          <w:b/>
          <w:color w:val="auto"/>
          <w:highlight w:val="none"/>
        </w:rPr>
        <w:t>挤塑聚苯板（</w:t>
      </w:r>
      <w:r>
        <w:rPr>
          <w:b/>
          <w:color w:val="auto"/>
          <w:highlight w:val="none"/>
        </w:rPr>
        <w:t>W</w:t>
      </w:r>
      <w:r>
        <w:rPr>
          <w:rFonts w:hint="eastAsia" w:hAnsi="宋体"/>
          <w:b/>
          <w:color w:val="auto"/>
          <w:highlight w:val="none"/>
        </w:rPr>
        <w:t>型）的主要性能指标</w:t>
      </w:r>
    </w:p>
    <w:tbl>
      <w:tblPr>
        <w:tblStyle w:val="24"/>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1"/>
        <w:gridCol w:w="4505"/>
        <w:gridCol w:w="1808"/>
        <w:gridCol w:w="1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453" w:type="pct"/>
            <w:vAlign w:val="center"/>
          </w:tcPr>
          <w:p>
            <w:pPr>
              <w:spacing w:before="100" w:after="100"/>
              <w:jc w:val="center"/>
              <w:rPr>
                <w:color w:val="auto"/>
                <w:szCs w:val="21"/>
                <w:highlight w:val="none"/>
              </w:rPr>
            </w:pPr>
            <w:r>
              <w:rPr>
                <w:rFonts w:hint="eastAsia"/>
                <w:color w:val="auto"/>
                <w:szCs w:val="21"/>
                <w:highlight w:val="none"/>
              </w:rPr>
              <w:t>序号</w:t>
            </w:r>
          </w:p>
        </w:tc>
        <w:tc>
          <w:tcPr>
            <w:tcW w:w="2482" w:type="pct"/>
            <w:vAlign w:val="center"/>
          </w:tcPr>
          <w:p>
            <w:pPr>
              <w:spacing w:before="100" w:after="100"/>
              <w:jc w:val="center"/>
              <w:rPr>
                <w:color w:val="auto"/>
                <w:szCs w:val="21"/>
                <w:highlight w:val="none"/>
              </w:rPr>
            </w:pPr>
            <w:r>
              <w:rPr>
                <w:rFonts w:hint="eastAsia"/>
                <w:color w:val="auto"/>
                <w:szCs w:val="21"/>
                <w:highlight w:val="none"/>
              </w:rPr>
              <w:t>项目名称</w:t>
            </w:r>
          </w:p>
        </w:tc>
        <w:tc>
          <w:tcPr>
            <w:tcW w:w="996" w:type="pct"/>
            <w:vAlign w:val="center"/>
          </w:tcPr>
          <w:p>
            <w:pPr>
              <w:spacing w:before="100" w:after="100"/>
              <w:jc w:val="center"/>
              <w:rPr>
                <w:color w:val="auto"/>
                <w:szCs w:val="21"/>
                <w:highlight w:val="none"/>
              </w:rPr>
            </w:pPr>
            <w:r>
              <w:rPr>
                <w:rFonts w:hint="eastAsia"/>
                <w:color w:val="auto"/>
                <w:szCs w:val="21"/>
                <w:highlight w:val="none"/>
              </w:rPr>
              <w:t>性能指标</w:t>
            </w:r>
          </w:p>
        </w:tc>
        <w:tc>
          <w:tcPr>
            <w:tcW w:w="1067" w:type="pct"/>
            <w:vAlign w:val="center"/>
          </w:tcPr>
          <w:p>
            <w:pPr>
              <w:spacing w:before="100" w:after="100"/>
              <w:jc w:val="center"/>
              <w:rPr>
                <w:color w:val="auto"/>
                <w:szCs w:val="21"/>
                <w:highlight w:val="none"/>
              </w:rPr>
            </w:pPr>
            <w:r>
              <w:rPr>
                <w:rFonts w:hint="eastAsia"/>
                <w:color w:val="auto"/>
                <w:szCs w:val="21"/>
                <w:highlight w:val="none"/>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vAlign w:val="center"/>
          </w:tcPr>
          <w:p>
            <w:pPr>
              <w:spacing w:before="100" w:after="100"/>
              <w:jc w:val="center"/>
              <w:rPr>
                <w:color w:val="auto"/>
                <w:szCs w:val="21"/>
                <w:highlight w:val="none"/>
              </w:rPr>
            </w:pPr>
            <w:r>
              <w:rPr>
                <w:color w:val="auto"/>
                <w:szCs w:val="21"/>
                <w:highlight w:val="none"/>
              </w:rPr>
              <w:t>1</w:t>
            </w:r>
          </w:p>
        </w:tc>
        <w:tc>
          <w:tcPr>
            <w:tcW w:w="2482" w:type="pct"/>
            <w:vAlign w:val="center"/>
          </w:tcPr>
          <w:p>
            <w:pPr>
              <w:spacing w:before="100" w:after="100"/>
              <w:jc w:val="center"/>
              <w:rPr>
                <w:color w:val="auto"/>
                <w:szCs w:val="21"/>
                <w:highlight w:val="none"/>
              </w:rPr>
            </w:pPr>
            <w:r>
              <w:rPr>
                <w:rFonts w:hint="eastAsia"/>
                <w:color w:val="auto"/>
                <w:szCs w:val="21"/>
                <w:highlight w:val="none"/>
              </w:rPr>
              <w:t>表观密度（</w:t>
            </w:r>
            <w:r>
              <w:rPr>
                <w:color w:val="auto"/>
                <w:szCs w:val="21"/>
                <w:highlight w:val="none"/>
              </w:rPr>
              <w:t>kg/m</w:t>
            </w:r>
            <w:r>
              <w:rPr>
                <w:color w:val="auto"/>
                <w:szCs w:val="21"/>
                <w:highlight w:val="none"/>
                <w:vertAlign w:val="superscript"/>
              </w:rPr>
              <w:t>3</w:t>
            </w:r>
            <w:r>
              <w:rPr>
                <w:rFonts w:hint="eastAsia"/>
                <w:color w:val="auto"/>
                <w:szCs w:val="21"/>
                <w:highlight w:val="none"/>
              </w:rPr>
              <w:t>）</w:t>
            </w:r>
          </w:p>
        </w:tc>
        <w:tc>
          <w:tcPr>
            <w:tcW w:w="996" w:type="pct"/>
            <w:vAlign w:val="center"/>
          </w:tcPr>
          <w:p>
            <w:pPr>
              <w:spacing w:before="100" w:after="100"/>
              <w:jc w:val="center"/>
              <w:rPr>
                <w:color w:val="auto"/>
                <w:szCs w:val="21"/>
                <w:highlight w:val="none"/>
              </w:rPr>
            </w:pPr>
            <w:r>
              <w:rPr>
                <w:color w:val="auto"/>
                <w:szCs w:val="21"/>
                <w:highlight w:val="none"/>
              </w:rPr>
              <w:t>20 ~ 35</w:t>
            </w:r>
          </w:p>
        </w:tc>
        <w:tc>
          <w:tcPr>
            <w:tcW w:w="1067" w:type="pct"/>
            <w:vAlign w:val="center"/>
          </w:tcPr>
          <w:p>
            <w:pPr>
              <w:spacing w:before="100" w:after="100"/>
              <w:jc w:val="center"/>
              <w:rPr>
                <w:color w:val="auto"/>
                <w:szCs w:val="21"/>
                <w:highlight w:val="none"/>
              </w:rPr>
            </w:pPr>
            <w:r>
              <w:rPr>
                <w:color w:val="auto"/>
                <w:szCs w:val="21"/>
                <w:highlight w:val="none"/>
              </w:rPr>
              <w:t>GB/T 6343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453" w:type="pct"/>
            <w:vAlign w:val="center"/>
          </w:tcPr>
          <w:p>
            <w:pPr>
              <w:spacing w:before="100" w:after="100"/>
              <w:jc w:val="center"/>
              <w:rPr>
                <w:color w:val="auto"/>
                <w:szCs w:val="21"/>
                <w:highlight w:val="none"/>
              </w:rPr>
            </w:pPr>
            <w:r>
              <w:rPr>
                <w:color w:val="auto"/>
                <w:szCs w:val="21"/>
                <w:highlight w:val="none"/>
              </w:rPr>
              <w:t>2</w:t>
            </w:r>
          </w:p>
        </w:tc>
        <w:tc>
          <w:tcPr>
            <w:tcW w:w="2482" w:type="pct"/>
            <w:vAlign w:val="center"/>
          </w:tcPr>
          <w:p>
            <w:pPr>
              <w:spacing w:before="100" w:after="100"/>
              <w:jc w:val="center"/>
              <w:rPr>
                <w:color w:val="auto"/>
                <w:szCs w:val="21"/>
                <w:highlight w:val="none"/>
              </w:rPr>
            </w:pPr>
            <w:r>
              <w:rPr>
                <w:rFonts w:hint="eastAsia"/>
                <w:color w:val="auto"/>
                <w:szCs w:val="21"/>
                <w:highlight w:val="none"/>
              </w:rPr>
              <w:t>导热系数（平均温度</w:t>
            </w:r>
            <w:r>
              <w:rPr>
                <w:color w:val="auto"/>
                <w:szCs w:val="21"/>
                <w:highlight w:val="none"/>
              </w:rPr>
              <w:t>25</w:t>
            </w:r>
            <w:r>
              <w:rPr>
                <w:rFonts w:hint="eastAsia" w:ascii="宋体" w:hAnsi="宋体" w:cs="宋体"/>
                <w:color w:val="auto"/>
                <w:szCs w:val="21"/>
                <w:highlight w:val="none"/>
              </w:rPr>
              <w:t>℃</w:t>
            </w:r>
            <w:r>
              <w:rPr>
                <w:color w:val="auto"/>
                <w:szCs w:val="21"/>
                <w:highlight w:val="none"/>
              </w:rPr>
              <w:t>±2</w:t>
            </w:r>
            <w:r>
              <w:rPr>
                <w:rFonts w:hint="eastAsia" w:ascii="宋体" w:hAnsi="宋体" w:cs="宋体"/>
                <w:color w:val="auto"/>
                <w:szCs w:val="21"/>
                <w:highlight w:val="none"/>
              </w:rPr>
              <w:t>℃</w:t>
            </w:r>
            <w:r>
              <w:rPr>
                <w:rFonts w:hint="eastAsia"/>
                <w:color w:val="auto"/>
                <w:szCs w:val="21"/>
                <w:highlight w:val="none"/>
              </w:rPr>
              <w:t>）</w:t>
            </w:r>
            <w:r>
              <w:rPr>
                <w:color w:val="auto"/>
                <w:szCs w:val="21"/>
                <w:highlight w:val="none"/>
              </w:rPr>
              <w:t>[W/</w:t>
            </w:r>
            <w:r>
              <w:rPr>
                <w:rFonts w:hint="eastAsia"/>
                <w:color w:val="auto"/>
                <w:szCs w:val="21"/>
                <w:highlight w:val="none"/>
              </w:rPr>
              <w:t>（</w:t>
            </w:r>
            <w:r>
              <w:rPr>
                <w:color w:val="auto"/>
                <w:szCs w:val="21"/>
                <w:highlight w:val="none"/>
              </w:rPr>
              <w:t>m</w:t>
            </w:r>
            <w:r>
              <w:rPr>
                <w:rFonts w:hint="eastAsia"/>
                <w:color w:val="auto"/>
                <w:szCs w:val="21"/>
                <w:highlight w:val="none"/>
              </w:rPr>
              <w:t>·</w:t>
            </w:r>
            <w:r>
              <w:rPr>
                <w:color w:val="auto"/>
                <w:szCs w:val="21"/>
                <w:highlight w:val="none"/>
              </w:rPr>
              <w:t>K</w:t>
            </w:r>
            <w:r>
              <w:rPr>
                <w:rFonts w:hint="eastAsia"/>
                <w:color w:val="auto"/>
                <w:szCs w:val="21"/>
                <w:highlight w:val="none"/>
              </w:rPr>
              <w:t>）</w:t>
            </w:r>
            <w:r>
              <w:rPr>
                <w:color w:val="auto"/>
                <w:szCs w:val="21"/>
                <w:highlight w:val="none"/>
              </w:rPr>
              <w:t>]</w:t>
            </w:r>
          </w:p>
        </w:tc>
        <w:tc>
          <w:tcPr>
            <w:tcW w:w="996" w:type="pct"/>
            <w:vAlign w:val="center"/>
          </w:tcPr>
          <w:p>
            <w:pPr>
              <w:spacing w:before="100" w:after="100"/>
              <w:jc w:val="center"/>
              <w:rPr>
                <w:b/>
                <w:color w:val="auto"/>
                <w:szCs w:val="21"/>
                <w:highlight w:val="none"/>
              </w:rPr>
            </w:pPr>
            <w:r>
              <w:rPr>
                <w:color w:val="auto"/>
                <w:szCs w:val="21"/>
                <w:highlight w:val="none"/>
              </w:rPr>
              <w:t>≤0.030</w:t>
            </w:r>
          </w:p>
        </w:tc>
        <w:tc>
          <w:tcPr>
            <w:tcW w:w="1067" w:type="pct"/>
            <w:vAlign w:val="center"/>
          </w:tcPr>
          <w:p>
            <w:pPr>
              <w:spacing w:before="100" w:after="100"/>
              <w:jc w:val="center"/>
              <w:rPr>
                <w:color w:val="auto"/>
                <w:szCs w:val="21"/>
                <w:highlight w:val="none"/>
              </w:rPr>
            </w:pPr>
            <w:r>
              <w:rPr>
                <w:color w:val="auto"/>
                <w:szCs w:val="21"/>
                <w:highlight w:val="none"/>
              </w:rPr>
              <w:t>GB/T 10294</w:t>
            </w:r>
          </w:p>
          <w:p>
            <w:pPr>
              <w:spacing w:before="100" w:after="100"/>
              <w:jc w:val="center"/>
              <w:rPr>
                <w:color w:val="auto"/>
                <w:highlight w:val="none"/>
              </w:rPr>
            </w:pPr>
            <w:r>
              <w:rPr>
                <w:color w:val="auto"/>
                <w:szCs w:val="21"/>
                <w:highlight w:val="none"/>
              </w:rPr>
              <w:t>GB/T 10295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vAlign w:val="center"/>
          </w:tcPr>
          <w:p>
            <w:pPr>
              <w:spacing w:before="100" w:after="100"/>
              <w:jc w:val="center"/>
              <w:rPr>
                <w:color w:val="auto"/>
                <w:szCs w:val="21"/>
                <w:highlight w:val="none"/>
              </w:rPr>
            </w:pPr>
            <w:r>
              <w:rPr>
                <w:color w:val="auto"/>
                <w:szCs w:val="21"/>
                <w:highlight w:val="none"/>
              </w:rPr>
              <w:t>3</w:t>
            </w:r>
          </w:p>
        </w:tc>
        <w:tc>
          <w:tcPr>
            <w:tcW w:w="2482" w:type="pct"/>
            <w:vAlign w:val="center"/>
          </w:tcPr>
          <w:p>
            <w:pPr>
              <w:spacing w:before="100" w:after="100"/>
              <w:jc w:val="center"/>
              <w:rPr>
                <w:color w:val="auto"/>
                <w:szCs w:val="21"/>
                <w:highlight w:val="none"/>
              </w:rPr>
            </w:pPr>
            <w:r>
              <w:rPr>
                <w:rFonts w:hint="eastAsia"/>
                <w:color w:val="auto"/>
                <w:szCs w:val="21"/>
                <w:highlight w:val="none"/>
              </w:rPr>
              <w:t>体积吸水率（浸水</w:t>
            </w:r>
            <w:r>
              <w:rPr>
                <w:color w:val="auto"/>
                <w:szCs w:val="21"/>
                <w:highlight w:val="none"/>
              </w:rPr>
              <w:t>96h</w:t>
            </w:r>
            <w:r>
              <w:rPr>
                <w:rFonts w:hint="eastAsia"/>
                <w:color w:val="auto"/>
                <w:szCs w:val="21"/>
                <w:highlight w:val="none"/>
              </w:rPr>
              <w:t>）</w:t>
            </w:r>
            <w:r>
              <w:rPr>
                <w:rFonts w:hint="eastAsia"/>
                <w:color w:val="auto"/>
                <w:szCs w:val="21"/>
                <w:highlight w:val="none"/>
                <w:lang w:eastAsia="zh-CN"/>
              </w:rPr>
              <w:t>（</w:t>
            </w:r>
            <w:r>
              <w:rPr>
                <w:color w:val="auto"/>
                <w:szCs w:val="21"/>
                <w:highlight w:val="none"/>
              </w:rPr>
              <w:t>%</w:t>
            </w:r>
            <w:r>
              <w:rPr>
                <w:rFonts w:hint="eastAsia"/>
                <w:color w:val="auto"/>
                <w:szCs w:val="21"/>
                <w:highlight w:val="none"/>
                <w:lang w:eastAsia="zh-CN"/>
              </w:rPr>
              <w:t>）</w:t>
            </w:r>
          </w:p>
        </w:tc>
        <w:tc>
          <w:tcPr>
            <w:tcW w:w="996" w:type="pct"/>
          </w:tcPr>
          <w:p>
            <w:pPr>
              <w:spacing w:before="100" w:after="100"/>
              <w:jc w:val="center"/>
              <w:rPr>
                <w:color w:val="auto"/>
                <w:szCs w:val="21"/>
                <w:highlight w:val="none"/>
              </w:rPr>
            </w:pPr>
            <w:r>
              <w:rPr>
                <w:color w:val="auto"/>
                <w:szCs w:val="21"/>
                <w:highlight w:val="none"/>
              </w:rPr>
              <w:t>≤1.5</w:t>
            </w:r>
          </w:p>
        </w:tc>
        <w:tc>
          <w:tcPr>
            <w:tcW w:w="1067" w:type="pct"/>
          </w:tcPr>
          <w:p>
            <w:pPr>
              <w:spacing w:before="100" w:after="100"/>
              <w:jc w:val="center"/>
              <w:rPr>
                <w:color w:val="auto"/>
                <w:szCs w:val="21"/>
                <w:highlight w:val="none"/>
              </w:rPr>
            </w:pPr>
            <w:r>
              <w:rPr>
                <w:color w:val="auto"/>
                <w:szCs w:val="21"/>
                <w:highlight w:val="none"/>
              </w:rPr>
              <w:t>GB/T 8810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vAlign w:val="center"/>
          </w:tcPr>
          <w:p>
            <w:pPr>
              <w:spacing w:before="100" w:after="100"/>
              <w:jc w:val="center"/>
              <w:rPr>
                <w:color w:val="auto"/>
                <w:szCs w:val="21"/>
                <w:highlight w:val="none"/>
              </w:rPr>
            </w:pPr>
            <w:r>
              <w:rPr>
                <w:color w:val="auto"/>
                <w:szCs w:val="21"/>
                <w:highlight w:val="none"/>
              </w:rPr>
              <w:t>4</w:t>
            </w:r>
          </w:p>
        </w:tc>
        <w:tc>
          <w:tcPr>
            <w:tcW w:w="2482" w:type="pct"/>
            <w:vAlign w:val="center"/>
          </w:tcPr>
          <w:p>
            <w:pPr>
              <w:spacing w:before="100" w:after="100"/>
              <w:jc w:val="center"/>
              <w:rPr>
                <w:color w:val="auto"/>
                <w:szCs w:val="21"/>
                <w:highlight w:val="none"/>
              </w:rPr>
            </w:pPr>
            <w:r>
              <w:rPr>
                <w:rFonts w:hint="eastAsia"/>
                <w:color w:val="auto"/>
                <w:szCs w:val="21"/>
                <w:highlight w:val="none"/>
              </w:rPr>
              <w:t>垂直于板面方向的抗拉强度（</w:t>
            </w:r>
            <w:r>
              <w:rPr>
                <w:color w:val="auto"/>
                <w:szCs w:val="21"/>
                <w:highlight w:val="none"/>
              </w:rPr>
              <w:t>MPa</w:t>
            </w:r>
            <w:r>
              <w:rPr>
                <w:rFonts w:hint="eastAsia"/>
                <w:color w:val="auto"/>
                <w:szCs w:val="21"/>
                <w:highlight w:val="none"/>
              </w:rPr>
              <w:t>）</w:t>
            </w:r>
          </w:p>
        </w:tc>
        <w:tc>
          <w:tcPr>
            <w:tcW w:w="996" w:type="pct"/>
            <w:vAlign w:val="center"/>
          </w:tcPr>
          <w:p>
            <w:pPr>
              <w:spacing w:before="100" w:after="100"/>
              <w:jc w:val="center"/>
              <w:rPr>
                <w:color w:val="auto"/>
                <w:szCs w:val="21"/>
                <w:highlight w:val="none"/>
              </w:rPr>
            </w:pPr>
            <w:r>
              <w:rPr>
                <w:color w:val="auto"/>
                <w:szCs w:val="21"/>
                <w:highlight w:val="none"/>
              </w:rPr>
              <w:t>≥0.15</w:t>
            </w:r>
          </w:p>
        </w:tc>
        <w:tc>
          <w:tcPr>
            <w:tcW w:w="1067" w:type="pct"/>
            <w:vAlign w:val="center"/>
          </w:tcPr>
          <w:p>
            <w:pPr>
              <w:spacing w:before="100" w:after="100"/>
              <w:jc w:val="center"/>
              <w:rPr>
                <w:color w:val="auto"/>
                <w:szCs w:val="21"/>
                <w:highlight w:val="none"/>
              </w:rPr>
            </w:pPr>
            <w:r>
              <w:rPr>
                <w:color w:val="auto"/>
                <w:szCs w:val="21"/>
                <w:highlight w:val="none"/>
              </w:rPr>
              <w:t>JGJ 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vAlign w:val="center"/>
          </w:tcPr>
          <w:p>
            <w:pPr>
              <w:spacing w:before="100" w:after="100"/>
              <w:jc w:val="center"/>
              <w:rPr>
                <w:color w:val="auto"/>
                <w:szCs w:val="21"/>
                <w:highlight w:val="none"/>
              </w:rPr>
            </w:pPr>
            <w:r>
              <w:rPr>
                <w:color w:val="auto"/>
                <w:szCs w:val="21"/>
                <w:highlight w:val="none"/>
              </w:rPr>
              <w:t>5</w:t>
            </w:r>
          </w:p>
        </w:tc>
        <w:tc>
          <w:tcPr>
            <w:tcW w:w="2482" w:type="pct"/>
            <w:vAlign w:val="center"/>
          </w:tcPr>
          <w:p>
            <w:pPr>
              <w:spacing w:before="100" w:after="100"/>
              <w:jc w:val="center"/>
              <w:rPr>
                <w:color w:val="auto"/>
                <w:szCs w:val="21"/>
                <w:highlight w:val="none"/>
              </w:rPr>
            </w:pPr>
            <w:r>
              <w:rPr>
                <w:rFonts w:hint="eastAsia"/>
                <w:color w:val="auto"/>
                <w:szCs w:val="21"/>
                <w:highlight w:val="none"/>
              </w:rPr>
              <w:t>尺寸稳定性</w:t>
            </w:r>
            <w:r>
              <w:rPr>
                <w:rFonts w:hint="eastAsia"/>
                <w:color w:val="auto"/>
                <w:szCs w:val="21"/>
                <w:highlight w:val="none"/>
                <w:lang w:eastAsia="zh-CN"/>
              </w:rPr>
              <w:t>（</w:t>
            </w:r>
            <w:r>
              <w:rPr>
                <w:color w:val="auto"/>
                <w:szCs w:val="21"/>
                <w:highlight w:val="none"/>
              </w:rPr>
              <w:t>%</w:t>
            </w:r>
            <w:r>
              <w:rPr>
                <w:rFonts w:hint="eastAsia"/>
                <w:color w:val="auto"/>
                <w:szCs w:val="21"/>
                <w:highlight w:val="none"/>
                <w:lang w:eastAsia="zh-CN"/>
              </w:rPr>
              <w:t>）</w:t>
            </w:r>
          </w:p>
        </w:tc>
        <w:tc>
          <w:tcPr>
            <w:tcW w:w="996" w:type="pct"/>
            <w:vAlign w:val="center"/>
          </w:tcPr>
          <w:p>
            <w:pPr>
              <w:spacing w:before="100" w:after="100"/>
              <w:jc w:val="center"/>
              <w:rPr>
                <w:color w:val="auto"/>
                <w:szCs w:val="21"/>
                <w:highlight w:val="none"/>
              </w:rPr>
            </w:pPr>
            <w:r>
              <w:rPr>
                <w:color w:val="auto"/>
                <w:szCs w:val="21"/>
                <w:highlight w:val="none"/>
              </w:rPr>
              <w:t>≤1.5</w:t>
            </w:r>
          </w:p>
        </w:tc>
        <w:tc>
          <w:tcPr>
            <w:tcW w:w="1067" w:type="pct"/>
            <w:vAlign w:val="center"/>
          </w:tcPr>
          <w:p>
            <w:pPr>
              <w:spacing w:before="100" w:after="100"/>
              <w:jc w:val="center"/>
              <w:rPr>
                <w:color w:val="auto"/>
                <w:szCs w:val="21"/>
                <w:highlight w:val="none"/>
              </w:rPr>
            </w:pPr>
            <w:r>
              <w:rPr>
                <w:color w:val="auto"/>
                <w:szCs w:val="21"/>
                <w:highlight w:val="none"/>
              </w:rPr>
              <w:t>GB/T 8811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vAlign w:val="center"/>
          </w:tcPr>
          <w:p>
            <w:pPr>
              <w:spacing w:before="100" w:after="100"/>
              <w:jc w:val="center"/>
              <w:rPr>
                <w:color w:val="auto"/>
                <w:szCs w:val="21"/>
                <w:highlight w:val="none"/>
              </w:rPr>
            </w:pPr>
            <w:r>
              <w:rPr>
                <w:color w:val="auto"/>
                <w:szCs w:val="21"/>
                <w:highlight w:val="none"/>
              </w:rPr>
              <w:t>6</w:t>
            </w:r>
          </w:p>
        </w:tc>
        <w:tc>
          <w:tcPr>
            <w:tcW w:w="2482" w:type="pct"/>
            <w:vAlign w:val="center"/>
          </w:tcPr>
          <w:p>
            <w:pPr>
              <w:spacing w:before="100" w:after="100"/>
              <w:jc w:val="center"/>
              <w:rPr>
                <w:color w:val="auto"/>
                <w:szCs w:val="21"/>
                <w:highlight w:val="none"/>
              </w:rPr>
            </w:pPr>
            <w:r>
              <w:rPr>
                <w:rFonts w:hint="eastAsia"/>
                <w:color w:val="auto"/>
                <w:szCs w:val="21"/>
                <w:highlight w:val="none"/>
              </w:rPr>
              <w:t>压缩强度（</w:t>
            </w:r>
            <w:r>
              <w:rPr>
                <w:color w:val="auto"/>
                <w:szCs w:val="21"/>
                <w:highlight w:val="none"/>
              </w:rPr>
              <w:t>kPa</w:t>
            </w:r>
            <w:r>
              <w:rPr>
                <w:rFonts w:hint="eastAsia"/>
                <w:color w:val="auto"/>
                <w:szCs w:val="21"/>
                <w:highlight w:val="none"/>
              </w:rPr>
              <w:t>）</w:t>
            </w:r>
          </w:p>
        </w:tc>
        <w:tc>
          <w:tcPr>
            <w:tcW w:w="996" w:type="pct"/>
            <w:vAlign w:val="center"/>
          </w:tcPr>
          <w:p>
            <w:pPr>
              <w:spacing w:before="100" w:after="100"/>
              <w:jc w:val="center"/>
              <w:rPr>
                <w:color w:val="auto"/>
                <w:szCs w:val="21"/>
                <w:highlight w:val="none"/>
              </w:rPr>
            </w:pPr>
            <w:r>
              <w:rPr>
                <w:color w:val="auto"/>
                <w:szCs w:val="21"/>
                <w:highlight w:val="none"/>
              </w:rPr>
              <w:t>≥200</w:t>
            </w:r>
          </w:p>
        </w:tc>
        <w:tc>
          <w:tcPr>
            <w:tcW w:w="1067" w:type="pct"/>
            <w:vAlign w:val="center"/>
          </w:tcPr>
          <w:p>
            <w:pPr>
              <w:spacing w:before="100" w:after="100"/>
              <w:jc w:val="center"/>
              <w:rPr>
                <w:color w:val="auto"/>
                <w:szCs w:val="21"/>
                <w:highlight w:val="none"/>
              </w:rPr>
            </w:pPr>
            <w:r>
              <w:rPr>
                <w:color w:val="auto"/>
                <w:szCs w:val="21"/>
                <w:highlight w:val="none"/>
              </w:rPr>
              <w:t>GB/T 8813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 w:type="pct"/>
            <w:vAlign w:val="center"/>
          </w:tcPr>
          <w:p>
            <w:pPr>
              <w:spacing w:before="100" w:after="100"/>
              <w:jc w:val="center"/>
              <w:rPr>
                <w:color w:val="auto"/>
                <w:szCs w:val="21"/>
                <w:highlight w:val="none"/>
              </w:rPr>
            </w:pPr>
            <w:r>
              <w:rPr>
                <w:color w:val="auto"/>
                <w:szCs w:val="21"/>
                <w:highlight w:val="none"/>
              </w:rPr>
              <w:t>7</w:t>
            </w:r>
          </w:p>
        </w:tc>
        <w:tc>
          <w:tcPr>
            <w:tcW w:w="2482" w:type="pct"/>
            <w:vAlign w:val="center"/>
          </w:tcPr>
          <w:p>
            <w:pPr>
              <w:spacing w:before="100" w:after="100"/>
              <w:jc w:val="center"/>
              <w:rPr>
                <w:color w:val="auto"/>
                <w:szCs w:val="21"/>
                <w:highlight w:val="none"/>
              </w:rPr>
            </w:pPr>
            <w:r>
              <w:rPr>
                <w:rFonts w:hint="eastAsia"/>
                <w:color w:val="auto"/>
                <w:szCs w:val="21"/>
                <w:highlight w:val="none"/>
              </w:rPr>
              <w:t>燃烧性能</w:t>
            </w:r>
          </w:p>
        </w:tc>
        <w:tc>
          <w:tcPr>
            <w:tcW w:w="996" w:type="pct"/>
            <w:vAlign w:val="center"/>
          </w:tcPr>
          <w:p>
            <w:pPr>
              <w:spacing w:before="100" w:after="100"/>
              <w:jc w:val="center"/>
              <w:rPr>
                <w:color w:val="auto"/>
                <w:szCs w:val="21"/>
                <w:highlight w:val="none"/>
              </w:rPr>
            </w:pPr>
            <w:r>
              <w:rPr>
                <w:rFonts w:hint="eastAsia"/>
                <w:color w:val="auto"/>
                <w:szCs w:val="21"/>
                <w:highlight w:val="none"/>
              </w:rPr>
              <w:t>不应低于</w:t>
            </w:r>
            <w:r>
              <w:rPr>
                <w:color w:val="auto"/>
                <w:szCs w:val="21"/>
                <w:highlight w:val="none"/>
              </w:rPr>
              <w:t>B1</w:t>
            </w:r>
            <w:r>
              <w:rPr>
                <w:rFonts w:hint="eastAsia"/>
                <w:color w:val="auto"/>
                <w:szCs w:val="21"/>
                <w:highlight w:val="none"/>
              </w:rPr>
              <w:t>级</w:t>
            </w:r>
          </w:p>
        </w:tc>
        <w:tc>
          <w:tcPr>
            <w:tcW w:w="1067" w:type="pct"/>
            <w:vAlign w:val="center"/>
          </w:tcPr>
          <w:p>
            <w:pPr>
              <w:spacing w:before="100" w:after="100"/>
              <w:jc w:val="center"/>
              <w:rPr>
                <w:color w:val="auto"/>
                <w:szCs w:val="21"/>
                <w:highlight w:val="none"/>
              </w:rPr>
            </w:pPr>
            <w:r>
              <w:rPr>
                <w:color w:val="auto"/>
                <w:szCs w:val="21"/>
                <w:highlight w:val="none"/>
              </w:rPr>
              <w:t>GB 8624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jc w:val="center"/>
        </w:trPr>
        <w:tc>
          <w:tcPr>
            <w:tcW w:w="453" w:type="pct"/>
            <w:vAlign w:val="center"/>
          </w:tcPr>
          <w:p>
            <w:pPr>
              <w:spacing w:before="100" w:after="100"/>
              <w:jc w:val="center"/>
              <w:rPr>
                <w:color w:val="auto"/>
                <w:szCs w:val="21"/>
                <w:highlight w:val="none"/>
              </w:rPr>
            </w:pPr>
            <w:r>
              <w:rPr>
                <w:color w:val="auto"/>
                <w:szCs w:val="21"/>
                <w:highlight w:val="none"/>
              </w:rPr>
              <w:t>8</w:t>
            </w:r>
          </w:p>
        </w:tc>
        <w:tc>
          <w:tcPr>
            <w:tcW w:w="2482" w:type="pct"/>
            <w:vAlign w:val="center"/>
          </w:tcPr>
          <w:p>
            <w:pPr>
              <w:spacing w:before="100" w:after="100"/>
              <w:jc w:val="center"/>
              <w:rPr>
                <w:color w:val="auto"/>
                <w:szCs w:val="21"/>
                <w:highlight w:val="none"/>
              </w:rPr>
            </w:pPr>
            <w:r>
              <w:rPr>
                <w:rFonts w:hint="eastAsia"/>
                <w:color w:val="auto"/>
                <w:szCs w:val="21"/>
                <w:highlight w:val="none"/>
              </w:rPr>
              <w:t>氧指数（</w:t>
            </w:r>
            <w:r>
              <w:rPr>
                <w:color w:val="auto"/>
                <w:szCs w:val="21"/>
                <w:highlight w:val="none"/>
              </w:rPr>
              <w:t>%</w:t>
            </w:r>
            <w:r>
              <w:rPr>
                <w:rFonts w:hint="eastAsia"/>
                <w:color w:val="auto"/>
                <w:szCs w:val="21"/>
                <w:highlight w:val="none"/>
              </w:rPr>
              <w:t>）</w:t>
            </w:r>
          </w:p>
        </w:tc>
        <w:tc>
          <w:tcPr>
            <w:tcW w:w="996" w:type="pct"/>
            <w:vAlign w:val="center"/>
          </w:tcPr>
          <w:p>
            <w:pPr>
              <w:spacing w:before="100" w:after="100"/>
              <w:jc w:val="center"/>
              <w:rPr>
                <w:color w:val="auto"/>
                <w:szCs w:val="21"/>
                <w:highlight w:val="none"/>
              </w:rPr>
            </w:pPr>
            <w:r>
              <w:rPr>
                <w:color w:val="auto"/>
                <w:szCs w:val="21"/>
                <w:highlight w:val="none"/>
              </w:rPr>
              <w:t>≥30</w:t>
            </w:r>
          </w:p>
        </w:tc>
        <w:tc>
          <w:tcPr>
            <w:tcW w:w="1067" w:type="pct"/>
            <w:vAlign w:val="center"/>
          </w:tcPr>
          <w:p>
            <w:pPr>
              <w:spacing w:before="100" w:after="100"/>
              <w:jc w:val="center"/>
              <w:rPr>
                <w:color w:val="auto"/>
                <w:szCs w:val="21"/>
                <w:highlight w:val="none"/>
              </w:rPr>
            </w:pPr>
            <w:r>
              <w:rPr>
                <w:color w:val="auto"/>
                <w:szCs w:val="21"/>
                <w:highlight w:val="none"/>
              </w:rPr>
              <w:t>GB/T 2406.2</w:t>
            </w:r>
          </w:p>
        </w:tc>
      </w:tr>
    </w:tbl>
    <w:p>
      <w:pPr>
        <w:adjustRightInd w:val="0"/>
        <w:snapToGrid w:val="0"/>
        <w:jc w:val="left"/>
        <w:rPr>
          <w:color w:val="auto"/>
          <w:szCs w:val="21"/>
          <w:highlight w:val="none"/>
        </w:rPr>
      </w:pPr>
    </w:p>
    <w:p>
      <w:pPr>
        <w:snapToGrid w:val="0"/>
        <w:spacing w:line="360" w:lineRule="auto"/>
        <w:outlineLvl w:val="2"/>
        <w:rPr>
          <w:color w:val="auto"/>
          <w:sz w:val="24"/>
          <w:highlight w:val="none"/>
        </w:rPr>
      </w:pPr>
      <w:r>
        <w:rPr>
          <w:rFonts w:hint="eastAsia"/>
          <w:b/>
          <w:color w:val="auto"/>
          <w:sz w:val="24"/>
          <w:highlight w:val="none"/>
        </w:rPr>
        <w:t>4.3.3</w:t>
      </w:r>
      <w:r>
        <w:rPr>
          <w:rFonts w:hint="eastAsia"/>
          <w:color w:val="auto"/>
          <w:sz w:val="24"/>
          <w:highlight w:val="none"/>
        </w:rPr>
        <w:t xml:space="preserve"> 内保温复合板用难燃型膨胀聚苯板（EPS）性能除应符合表4.3.3的规定外，还应符合《绝热用模塑聚苯乙烯泡沫塑料（EPS）》GB/T</w:t>
      </w:r>
      <w:r>
        <w:rPr>
          <w:rFonts w:hint="eastAsia"/>
          <w:color w:val="auto"/>
          <w:sz w:val="24"/>
          <w:highlight w:val="none"/>
          <w:lang w:val="en-US" w:eastAsia="zh-CN"/>
        </w:rPr>
        <w:t xml:space="preserve"> </w:t>
      </w:r>
      <w:r>
        <w:rPr>
          <w:rFonts w:hint="eastAsia"/>
          <w:color w:val="auto"/>
          <w:sz w:val="24"/>
          <w:highlight w:val="none"/>
        </w:rPr>
        <w:t>10801.1的相关规定。</w:t>
      </w:r>
    </w:p>
    <w:p>
      <w:pPr>
        <w:jc w:val="center"/>
        <w:rPr>
          <w:rFonts w:hAnsi="宋体"/>
          <w:b/>
          <w:color w:val="auto"/>
          <w:szCs w:val="21"/>
          <w:highlight w:val="none"/>
        </w:rPr>
      </w:pPr>
      <w:r>
        <w:rPr>
          <w:rFonts w:hint="eastAsia" w:hAnsi="宋体"/>
          <w:b/>
          <w:color w:val="auto"/>
          <w:szCs w:val="21"/>
          <w:highlight w:val="none"/>
        </w:rPr>
        <w:t>表4.3.3难燃型膨胀聚苯板（EPS）的性能指标</w:t>
      </w:r>
    </w:p>
    <w:tbl>
      <w:tblPr>
        <w:tblStyle w:val="24"/>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2"/>
        <w:gridCol w:w="3291"/>
        <w:gridCol w:w="2971"/>
        <w:gridCol w:w="2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354" w:type="pct"/>
            <w:vAlign w:val="center"/>
          </w:tcPr>
          <w:p>
            <w:pPr>
              <w:spacing w:before="100" w:after="100"/>
              <w:jc w:val="center"/>
              <w:rPr>
                <w:color w:val="auto"/>
                <w:szCs w:val="21"/>
                <w:highlight w:val="none"/>
              </w:rPr>
            </w:pPr>
            <w:r>
              <w:rPr>
                <w:rFonts w:hint="eastAsia"/>
                <w:color w:val="auto"/>
                <w:szCs w:val="21"/>
                <w:highlight w:val="none"/>
              </w:rPr>
              <w:t>序号</w:t>
            </w:r>
          </w:p>
        </w:tc>
        <w:tc>
          <w:tcPr>
            <w:tcW w:w="1813" w:type="pct"/>
            <w:vAlign w:val="center"/>
          </w:tcPr>
          <w:p>
            <w:pPr>
              <w:spacing w:before="100" w:after="100"/>
              <w:jc w:val="center"/>
              <w:rPr>
                <w:color w:val="auto"/>
                <w:szCs w:val="21"/>
                <w:highlight w:val="none"/>
              </w:rPr>
            </w:pPr>
            <w:r>
              <w:rPr>
                <w:rFonts w:hint="eastAsia"/>
                <w:color w:val="auto"/>
                <w:szCs w:val="21"/>
                <w:highlight w:val="none"/>
              </w:rPr>
              <w:t>项目名称</w:t>
            </w:r>
          </w:p>
        </w:tc>
        <w:tc>
          <w:tcPr>
            <w:tcW w:w="1637" w:type="pct"/>
            <w:vAlign w:val="center"/>
          </w:tcPr>
          <w:p>
            <w:pPr>
              <w:spacing w:before="100" w:after="100"/>
              <w:jc w:val="center"/>
              <w:rPr>
                <w:color w:val="auto"/>
                <w:szCs w:val="21"/>
                <w:highlight w:val="none"/>
              </w:rPr>
            </w:pPr>
            <w:r>
              <w:rPr>
                <w:rFonts w:hint="eastAsia"/>
                <w:color w:val="auto"/>
                <w:szCs w:val="21"/>
                <w:highlight w:val="none"/>
              </w:rPr>
              <w:t>性能指标</w:t>
            </w:r>
          </w:p>
        </w:tc>
        <w:tc>
          <w:tcPr>
            <w:tcW w:w="1194" w:type="pct"/>
            <w:vAlign w:val="center"/>
          </w:tcPr>
          <w:p>
            <w:pPr>
              <w:spacing w:before="100" w:after="100"/>
              <w:jc w:val="center"/>
              <w:rPr>
                <w:color w:val="auto"/>
                <w:szCs w:val="21"/>
                <w:highlight w:val="none"/>
              </w:rPr>
            </w:pPr>
            <w:r>
              <w:rPr>
                <w:rFonts w:hint="eastAsia"/>
                <w:color w:val="auto"/>
                <w:szCs w:val="21"/>
                <w:highlight w:val="none"/>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 w:type="pct"/>
            <w:vAlign w:val="center"/>
          </w:tcPr>
          <w:p>
            <w:pPr>
              <w:spacing w:before="100" w:after="100"/>
              <w:jc w:val="center"/>
              <w:rPr>
                <w:color w:val="auto"/>
                <w:szCs w:val="21"/>
                <w:highlight w:val="none"/>
              </w:rPr>
            </w:pPr>
            <w:r>
              <w:rPr>
                <w:color w:val="auto"/>
                <w:szCs w:val="21"/>
                <w:highlight w:val="none"/>
              </w:rPr>
              <w:t>1</w:t>
            </w:r>
          </w:p>
        </w:tc>
        <w:tc>
          <w:tcPr>
            <w:tcW w:w="1813" w:type="pct"/>
            <w:vAlign w:val="center"/>
          </w:tcPr>
          <w:p>
            <w:pPr>
              <w:spacing w:before="100" w:after="100"/>
              <w:jc w:val="center"/>
              <w:rPr>
                <w:color w:val="auto"/>
                <w:szCs w:val="21"/>
                <w:highlight w:val="none"/>
              </w:rPr>
            </w:pPr>
            <w:r>
              <w:rPr>
                <w:rFonts w:hint="eastAsia"/>
                <w:color w:val="auto"/>
                <w:szCs w:val="21"/>
                <w:highlight w:val="none"/>
              </w:rPr>
              <w:t>表观密度（</w:t>
            </w:r>
            <w:r>
              <w:rPr>
                <w:color w:val="auto"/>
                <w:szCs w:val="21"/>
                <w:highlight w:val="none"/>
              </w:rPr>
              <w:t>kg/m</w:t>
            </w:r>
            <w:r>
              <w:rPr>
                <w:color w:val="auto"/>
                <w:szCs w:val="21"/>
                <w:highlight w:val="none"/>
                <w:vertAlign w:val="superscript"/>
              </w:rPr>
              <w:t>3</w:t>
            </w:r>
            <w:r>
              <w:rPr>
                <w:rFonts w:hint="eastAsia"/>
                <w:color w:val="auto"/>
                <w:szCs w:val="21"/>
                <w:highlight w:val="none"/>
              </w:rPr>
              <w:t>）</w:t>
            </w:r>
          </w:p>
        </w:tc>
        <w:tc>
          <w:tcPr>
            <w:tcW w:w="1637" w:type="pct"/>
            <w:vAlign w:val="center"/>
          </w:tcPr>
          <w:p>
            <w:pPr>
              <w:spacing w:before="100" w:after="100"/>
              <w:jc w:val="center"/>
              <w:rPr>
                <w:color w:val="auto"/>
                <w:szCs w:val="21"/>
                <w:highlight w:val="none"/>
              </w:rPr>
            </w:pPr>
            <w:r>
              <w:rPr>
                <w:color w:val="auto"/>
                <w:szCs w:val="21"/>
                <w:highlight w:val="none"/>
              </w:rPr>
              <w:t>18 ~ 22</w:t>
            </w:r>
          </w:p>
        </w:tc>
        <w:tc>
          <w:tcPr>
            <w:tcW w:w="1194" w:type="pct"/>
            <w:vAlign w:val="center"/>
          </w:tcPr>
          <w:p>
            <w:pPr>
              <w:spacing w:before="100" w:after="100"/>
              <w:jc w:val="center"/>
              <w:rPr>
                <w:color w:val="auto"/>
                <w:szCs w:val="21"/>
                <w:highlight w:val="none"/>
              </w:rPr>
            </w:pPr>
            <w:r>
              <w:rPr>
                <w:color w:val="auto"/>
                <w:szCs w:val="21"/>
                <w:highlight w:val="none"/>
              </w:rPr>
              <w:t>GB/T 6343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354" w:type="pct"/>
            <w:vAlign w:val="center"/>
          </w:tcPr>
          <w:p>
            <w:pPr>
              <w:spacing w:before="100" w:after="100"/>
              <w:jc w:val="center"/>
              <w:rPr>
                <w:color w:val="auto"/>
                <w:szCs w:val="21"/>
                <w:highlight w:val="none"/>
              </w:rPr>
            </w:pPr>
            <w:r>
              <w:rPr>
                <w:color w:val="auto"/>
                <w:szCs w:val="21"/>
                <w:highlight w:val="none"/>
              </w:rPr>
              <w:t>2</w:t>
            </w:r>
          </w:p>
        </w:tc>
        <w:tc>
          <w:tcPr>
            <w:tcW w:w="1813" w:type="pct"/>
            <w:vAlign w:val="center"/>
          </w:tcPr>
          <w:p>
            <w:pPr>
              <w:spacing w:before="100" w:after="100"/>
              <w:jc w:val="center"/>
              <w:rPr>
                <w:rFonts w:hint="eastAsia"/>
                <w:color w:val="auto"/>
                <w:szCs w:val="21"/>
                <w:highlight w:val="none"/>
              </w:rPr>
            </w:pPr>
            <w:r>
              <w:rPr>
                <w:rFonts w:hint="eastAsia"/>
                <w:color w:val="auto"/>
                <w:szCs w:val="21"/>
                <w:highlight w:val="none"/>
              </w:rPr>
              <w:t>导热系数（平均温度</w:t>
            </w:r>
            <w:r>
              <w:rPr>
                <w:color w:val="auto"/>
                <w:szCs w:val="21"/>
                <w:highlight w:val="none"/>
              </w:rPr>
              <w:t>25</w:t>
            </w:r>
            <w:r>
              <w:rPr>
                <w:rFonts w:hint="eastAsia" w:ascii="宋体" w:hAnsi="宋体" w:cs="宋体"/>
                <w:color w:val="auto"/>
                <w:szCs w:val="21"/>
                <w:highlight w:val="none"/>
              </w:rPr>
              <w:t>℃</w:t>
            </w:r>
            <w:r>
              <w:rPr>
                <w:color w:val="auto"/>
                <w:szCs w:val="21"/>
                <w:highlight w:val="none"/>
              </w:rPr>
              <w:t>±2</w:t>
            </w:r>
            <w:r>
              <w:rPr>
                <w:rFonts w:hint="eastAsia" w:ascii="宋体" w:hAnsi="宋体" w:cs="宋体"/>
                <w:color w:val="auto"/>
                <w:szCs w:val="21"/>
                <w:highlight w:val="none"/>
              </w:rPr>
              <w:t>℃</w:t>
            </w:r>
            <w:r>
              <w:rPr>
                <w:rFonts w:hint="eastAsia"/>
                <w:color w:val="auto"/>
                <w:szCs w:val="21"/>
                <w:highlight w:val="none"/>
              </w:rPr>
              <w:t>）</w:t>
            </w:r>
          </w:p>
          <w:p>
            <w:pPr>
              <w:spacing w:before="100" w:after="100"/>
              <w:jc w:val="center"/>
              <w:rPr>
                <w:color w:val="auto"/>
                <w:szCs w:val="21"/>
                <w:highlight w:val="none"/>
              </w:rPr>
            </w:pPr>
            <w:r>
              <w:rPr>
                <w:color w:val="auto"/>
                <w:szCs w:val="21"/>
                <w:highlight w:val="none"/>
              </w:rPr>
              <w:t>[W/</w:t>
            </w:r>
            <w:r>
              <w:rPr>
                <w:rFonts w:hint="eastAsia"/>
                <w:color w:val="auto"/>
                <w:szCs w:val="21"/>
                <w:highlight w:val="none"/>
              </w:rPr>
              <w:t>（</w:t>
            </w:r>
            <w:r>
              <w:rPr>
                <w:color w:val="auto"/>
                <w:szCs w:val="21"/>
                <w:highlight w:val="none"/>
              </w:rPr>
              <w:t>m</w:t>
            </w:r>
            <w:r>
              <w:rPr>
                <w:rFonts w:hint="eastAsia"/>
                <w:color w:val="auto"/>
                <w:szCs w:val="21"/>
                <w:highlight w:val="none"/>
              </w:rPr>
              <w:t>·</w:t>
            </w:r>
            <w:r>
              <w:rPr>
                <w:color w:val="auto"/>
                <w:szCs w:val="21"/>
                <w:highlight w:val="none"/>
              </w:rPr>
              <w:t>K</w:t>
            </w:r>
            <w:r>
              <w:rPr>
                <w:rFonts w:hint="eastAsia"/>
                <w:color w:val="auto"/>
                <w:szCs w:val="21"/>
                <w:highlight w:val="none"/>
              </w:rPr>
              <w:t>）</w:t>
            </w:r>
            <w:r>
              <w:rPr>
                <w:color w:val="auto"/>
                <w:szCs w:val="21"/>
                <w:highlight w:val="none"/>
              </w:rPr>
              <w:t>]</w:t>
            </w:r>
          </w:p>
        </w:tc>
        <w:tc>
          <w:tcPr>
            <w:tcW w:w="1637" w:type="pct"/>
            <w:vAlign w:val="center"/>
          </w:tcPr>
          <w:p>
            <w:pPr>
              <w:spacing w:before="100" w:after="100"/>
              <w:jc w:val="center"/>
              <w:rPr>
                <w:rFonts w:hint="default" w:eastAsia="宋体"/>
                <w:b/>
                <w:color w:val="auto"/>
                <w:szCs w:val="21"/>
                <w:highlight w:val="none"/>
                <w:lang w:val="en-US" w:eastAsia="zh-CN"/>
              </w:rPr>
            </w:pPr>
            <w:r>
              <w:rPr>
                <w:color w:val="auto"/>
                <w:szCs w:val="21"/>
                <w:highlight w:val="none"/>
              </w:rPr>
              <w:t>≤0.0</w:t>
            </w:r>
            <w:r>
              <w:rPr>
                <w:rFonts w:hint="eastAsia"/>
                <w:color w:val="auto"/>
                <w:szCs w:val="21"/>
                <w:highlight w:val="none"/>
                <w:lang w:val="en-US" w:eastAsia="zh-CN"/>
              </w:rPr>
              <w:t>41</w:t>
            </w:r>
          </w:p>
        </w:tc>
        <w:tc>
          <w:tcPr>
            <w:tcW w:w="1194" w:type="pct"/>
            <w:vAlign w:val="center"/>
          </w:tcPr>
          <w:p>
            <w:pPr>
              <w:spacing w:before="100" w:after="100"/>
              <w:jc w:val="center"/>
              <w:rPr>
                <w:color w:val="auto"/>
                <w:szCs w:val="21"/>
                <w:highlight w:val="none"/>
              </w:rPr>
            </w:pPr>
            <w:r>
              <w:rPr>
                <w:color w:val="auto"/>
                <w:szCs w:val="21"/>
                <w:highlight w:val="none"/>
              </w:rPr>
              <w:t>GB/T 10294</w:t>
            </w:r>
          </w:p>
          <w:p>
            <w:pPr>
              <w:spacing w:before="100" w:after="100"/>
              <w:jc w:val="center"/>
              <w:rPr>
                <w:color w:val="auto"/>
                <w:highlight w:val="none"/>
              </w:rPr>
            </w:pPr>
            <w:r>
              <w:rPr>
                <w:color w:val="auto"/>
                <w:szCs w:val="21"/>
                <w:highlight w:val="none"/>
              </w:rPr>
              <w:t>GB/T 10295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 w:type="pct"/>
            <w:vAlign w:val="center"/>
          </w:tcPr>
          <w:p>
            <w:pPr>
              <w:spacing w:before="100" w:after="100"/>
              <w:jc w:val="center"/>
              <w:rPr>
                <w:color w:val="auto"/>
                <w:szCs w:val="21"/>
                <w:highlight w:val="none"/>
              </w:rPr>
            </w:pPr>
            <w:r>
              <w:rPr>
                <w:color w:val="auto"/>
                <w:szCs w:val="21"/>
                <w:highlight w:val="none"/>
              </w:rPr>
              <w:t>3</w:t>
            </w:r>
          </w:p>
        </w:tc>
        <w:tc>
          <w:tcPr>
            <w:tcW w:w="1813" w:type="pct"/>
            <w:vAlign w:val="center"/>
          </w:tcPr>
          <w:p>
            <w:pPr>
              <w:spacing w:before="100" w:after="100"/>
              <w:jc w:val="center"/>
              <w:rPr>
                <w:color w:val="auto"/>
                <w:szCs w:val="21"/>
                <w:highlight w:val="none"/>
              </w:rPr>
            </w:pPr>
            <w:r>
              <w:rPr>
                <w:rFonts w:hint="eastAsia"/>
                <w:color w:val="auto"/>
                <w:szCs w:val="21"/>
                <w:highlight w:val="none"/>
              </w:rPr>
              <w:t>体积吸水率（浸水</w:t>
            </w:r>
            <w:r>
              <w:rPr>
                <w:color w:val="auto"/>
                <w:szCs w:val="21"/>
                <w:highlight w:val="none"/>
              </w:rPr>
              <w:t>96h</w:t>
            </w:r>
            <w:r>
              <w:rPr>
                <w:rFonts w:hint="eastAsia"/>
                <w:color w:val="auto"/>
                <w:szCs w:val="21"/>
                <w:highlight w:val="none"/>
              </w:rPr>
              <w:t>）</w:t>
            </w:r>
            <w:r>
              <w:rPr>
                <w:rFonts w:hint="eastAsia"/>
                <w:color w:val="auto"/>
                <w:szCs w:val="21"/>
                <w:highlight w:val="none"/>
                <w:lang w:eastAsia="zh-CN"/>
              </w:rPr>
              <w:t>（</w:t>
            </w:r>
            <w:r>
              <w:rPr>
                <w:color w:val="auto"/>
                <w:szCs w:val="21"/>
                <w:highlight w:val="none"/>
              </w:rPr>
              <w:t>%</w:t>
            </w:r>
            <w:r>
              <w:rPr>
                <w:rFonts w:hint="eastAsia"/>
                <w:color w:val="auto"/>
                <w:szCs w:val="21"/>
                <w:highlight w:val="none"/>
                <w:lang w:eastAsia="zh-CN"/>
              </w:rPr>
              <w:t>）</w:t>
            </w:r>
          </w:p>
        </w:tc>
        <w:tc>
          <w:tcPr>
            <w:tcW w:w="1637" w:type="pct"/>
          </w:tcPr>
          <w:p>
            <w:pPr>
              <w:spacing w:before="100" w:after="100"/>
              <w:jc w:val="center"/>
              <w:rPr>
                <w:color w:val="auto"/>
                <w:szCs w:val="21"/>
                <w:highlight w:val="none"/>
              </w:rPr>
            </w:pPr>
            <w:r>
              <w:rPr>
                <w:color w:val="auto"/>
                <w:szCs w:val="21"/>
                <w:highlight w:val="none"/>
              </w:rPr>
              <w:t>≤3.0</w:t>
            </w:r>
          </w:p>
        </w:tc>
        <w:tc>
          <w:tcPr>
            <w:tcW w:w="1194" w:type="pct"/>
          </w:tcPr>
          <w:p>
            <w:pPr>
              <w:spacing w:before="100" w:after="100"/>
              <w:jc w:val="center"/>
              <w:rPr>
                <w:color w:val="auto"/>
                <w:szCs w:val="21"/>
                <w:highlight w:val="none"/>
              </w:rPr>
            </w:pPr>
            <w:r>
              <w:rPr>
                <w:color w:val="auto"/>
                <w:szCs w:val="21"/>
                <w:highlight w:val="none"/>
              </w:rPr>
              <w:t>GB/T 8810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 w:type="pct"/>
            <w:vAlign w:val="center"/>
          </w:tcPr>
          <w:p>
            <w:pPr>
              <w:spacing w:before="100" w:after="100"/>
              <w:jc w:val="center"/>
              <w:rPr>
                <w:color w:val="auto"/>
                <w:szCs w:val="21"/>
                <w:highlight w:val="none"/>
              </w:rPr>
            </w:pPr>
            <w:r>
              <w:rPr>
                <w:color w:val="auto"/>
                <w:szCs w:val="21"/>
                <w:highlight w:val="none"/>
              </w:rPr>
              <w:t>4</w:t>
            </w:r>
          </w:p>
        </w:tc>
        <w:tc>
          <w:tcPr>
            <w:tcW w:w="1813" w:type="pct"/>
            <w:vAlign w:val="center"/>
          </w:tcPr>
          <w:p>
            <w:pPr>
              <w:spacing w:before="100" w:after="100"/>
              <w:jc w:val="center"/>
              <w:rPr>
                <w:color w:val="auto"/>
                <w:szCs w:val="21"/>
                <w:highlight w:val="none"/>
              </w:rPr>
            </w:pPr>
            <w:r>
              <w:rPr>
                <w:rFonts w:hint="eastAsia"/>
                <w:color w:val="auto"/>
                <w:szCs w:val="21"/>
                <w:highlight w:val="none"/>
              </w:rPr>
              <w:t>垂直于板面方向的抗拉强度（</w:t>
            </w:r>
            <w:r>
              <w:rPr>
                <w:color w:val="auto"/>
                <w:szCs w:val="21"/>
                <w:highlight w:val="none"/>
              </w:rPr>
              <w:t>MPa</w:t>
            </w:r>
            <w:r>
              <w:rPr>
                <w:rFonts w:hint="eastAsia"/>
                <w:color w:val="auto"/>
                <w:szCs w:val="21"/>
                <w:highlight w:val="none"/>
              </w:rPr>
              <w:t>）</w:t>
            </w:r>
          </w:p>
        </w:tc>
        <w:tc>
          <w:tcPr>
            <w:tcW w:w="1637" w:type="pct"/>
            <w:vAlign w:val="center"/>
          </w:tcPr>
          <w:p>
            <w:pPr>
              <w:spacing w:before="100" w:after="100"/>
              <w:jc w:val="center"/>
              <w:rPr>
                <w:color w:val="auto"/>
                <w:szCs w:val="21"/>
                <w:highlight w:val="none"/>
              </w:rPr>
            </w:pPr>
            <w:r>
              <w:rPr>
                <w:color w:val="auto"/>
                <w:szCs w:val="21"/>
                <w:highlight w:val="none"/>
              </w:rPr>
              <w:t>≥0.10</w:t>
            </w:r>
          </w:p>
        </w:tc>
        <w:tc>
          <w:tcPr>
            <w:tcW w:w="1194" w:type="pct"/>
            <w:vAlign w:val="center"/>
          </w:tcPr>
          <w:p>
            <w:pPr>
              <w:spacing w:before="100" w:after="100"/>
              <w:jc w:val="center"/>
              <w:rPr>
                <w:color w:val="auto"/>
                <w:szCs w:val="21"/>
                <w:highlight w:val="none"/>
              </w:rPr>
            </w:pPr>
            <w:r>
              <w:rPr>
                <w:color w:val="auto"/>
                <w:szCs w:val="21"/>
                <w:highlight w:val="none"/>
              </w:rPr>
              <w:t>JGJ 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 w:type="pct"/>
            <w:vAlign w:val="center"/>
          </w:tcPr>
          <w:p>
            <w:pPr>
              <w:spacing w:before="100" w:after="100"/>
              <w:jc w:val="center"/>
              <w:rPr>
                <w:color w:val="auto"/>
                <w:szCs w:val="21"/>
                <w:highlight w:val="none"/>
              </w:rPr>
            </w:pPr>
            <w:r>
              <w:rPr>
                <w:color w:val="auto"/>
                <w:szCs w:val="21"/>
                <w:highlight w:val="none"/>
              </w:rPr>
              <w:t>5</w:t>
            </w:r>
          </w:p>
        </w:tc>
        <w:tc>
          <w:tcPr>
            <w:tcW w:w="1813" w:type="pct"/>
            <w:vAlign w:val="center"/>
          </w:tcPr>
          <w:p>
            <w:pPr>
              <w:spacing w:before="100" w:after="100"/>
              <w:jc w:val="center"/>
              <w:rPr>
                <w:color w:val="auto"/>
                <w:szCs w:val="21"/>
                <w:highlight w:val="none"/>
              </w:rPr>
            </w:pPr>
            <w:r>
              <w:rPr>
                <w:rFonts w:hint="eastAsia"/>
                <w:color w:val="auto"/>
                <w:szCs w:val="21"/>
                <w:highlight w:val="none"/>
              </w:rPr>
              <w:t>尺寸稳定性</w:t>
            </w:r>
            <w:r>
              <w:rPr>
                <w:rFonts w:hint="eastAsia"/>
                <w:color w:val="auto"/>
                <w:szCs w:val="21"/>
                <w:highlight w:val="none"/>
                <w:lang w:eastAsia="zh-CN"/>
              </w:rPr>
              <w:t>（</w:t>
            </w:r>
            <w:r>
              <w:rPr>
                <w:color w:val="auto"/>
                <w:szCs w:val="21"/>
                <w:highlight w:val="none"/>
              </w:rPr>
              <w:t>%</w:t>
            </w:r>
            <w:r>
              <w:rPr>
                <w:rFonts w:hint="eastAsia"/>
                <w:color w:val="auto"/>
                <w:szCs w:val="21"/>
                <w:highlight w:val="none"/>
                <w:lang w:eastAsia="zh-CN"/>
              </w:rPr>
              <w:t>）</w:t>
            </w:r>
          </w:p>
        </w:tc>
        <w:tc>
          <w:tcPr>
            <w:tcW w:w="1637" w:type="pct"/>
            <w:vAlign w:val="center"/>
          </w:tcPr>
          <w:p>
            <w:pPr>
              <w:spacing w:before="100" w:after="100"/>
              <w:jc w:val="center"/>
              <w:rPr>
                <w:color w:val="auto"/>
                <w:szCs w:val="21"/>
                <w:highlight w:val="none"/>
              </w:rPr>
            </w:pPr>
            <w:r>
              <w:rPr>
                <w:color w:val="auto"/>
                <w:szCs w:val="21"/>
                <w:highlight w:val="none"/>
              </w:rPr>
              <w:t>≤0.3</w:t>
            </w:r>
          </w:p>
        </w:tc>
        <w:tc>
          <w:tcPr>
            <w:tcW w:w="1194" w:type="pct"/>
            <w:vAlign w:val="center"/>
          </w:tcPr>
          <w:p>
            <w:pPr>
              <w:spacing w:before="100" w:after="100"/>
              <w:jc w:val="center"/>
              <w:rPr>
                <w:color w:val="auto"/>
                <w:szCs w:val="21"/>
                <w:highlight w:val="none"/>
              </w:rPr>
            </w:pPr>
            <w:r>
              <w:rPr>
                <w:color w:val="auto"/>
                <w:szCs w:val="21"/>
                <w:highlight w:val="none"/>
              </w:rPr>
              <w:t>GB/T 8811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 w:type="pct"/>
            <w:vAlign w:val="center"/>
          </w:tcPr>
          <w:p>
            <w:pPr>
              <w:spacing w:before="100" w:after="100"/>
              <w:jc w:val="center"/>
              <w:rPr>
                <w:color w:val="auto"/>
                <w:szCs w:val="21"/>
                <w:highlight w:val="none"/>
              </w:rPr>
            </w:pPr>
            <w:r>
              <w:rPr>
                <w:color w:val="auto"/>
                <w:szCs w:val="21"/>
                <w:highlight w:val="none"/>
              </w:rPr>
              <w:t>6</w:t>
            </w:r>
          </w:p>
        </w:tc>
        <w:tc>
          <w:tcPr>
            <w:tcW w:w="1813" w:type="pct"/>
            <w:vAlign w:val="center"/>
          </w:tcPr>
          <w:p>
            <w:pPr>
              <w:spacing w:before="100" w:after="100"/>
              <w:jc w:val="center"/>
              <w:rPr>
                <w:color w:val="auto"/>
                <w:szCs w:val="21"/>
                <w:highlight w:val="none"/>
              </w:rPr>
            </w:pPr>
            <w:r>
              <w:rPr>
                <w:rFonts w:hint="eastAsia"/>
                <w:color w:val="auto"/>
                <w:szCs w:val="21"/>
                <w:highlight w:val="none"/>
              </w:rPr>
              <w:t>压缩强度（</w:t>
            </w:r>
            <w:r>
              <w:rPr>
                <w:color w:val="auto"/>
                <w:szCs w:val="21"/>
                <w:highlight w:val="none"/>
              </w:rPr>
              <w:t>kPa</w:t>
            </w:r>
            <w:r>
              <w:rPr>
                <w:rFonts w:hint="eastAsia"/>
                <w:color w:val="auto"/>
                <w:szCs w:val="21"/>
                <w:highlight w:val="none"/>
              </w:rPr>
              <w:t>）</w:t>
            </w:r>
          </w:p>
        </w:tc>
        <w:tc>
          <w:tcPr>
            <w:tcW w:w="1637" w:type="pct"/>
            <w:vAlign w:val="center"/>
          </w:tcPr>
          <w:p>
            <w:pPr>
              <w:spacing w:before="100" w:after="100"/>
              <w:jc w:val="center"/>
              <w:rPr>
                <w:color w:val="auto"/>
                <w:szCs w:val="21"/>
                <w:highlight w:val="none"/>
              </w:rPr>
            </w:pPr>
            <w:r>
              <w:rPr>
                <w:color w:val="auto"/>
                <w:szCs w:val="21"/>
                <w:highlight w:val="none"/>
              </w:rPr>
              <w:t>≥100</w:t>
            </w:r>
          </w:p>
        </w:tc>
        <w:tc>
          <w:tcPr>
            <w:tcW w:w="1194" w:type="pct"/>
            <w:vAlign w:val="center"/>
          </w:tcPr>
          <w:p>
            <w:pPr>
              <w:spacing w:before="100" w:after="100"/>
              <w:jc w:val="center"/>
              <w:rPr>
                <w:color w:val="auto"/>
                <w:szCs w:val="21"/>
                <w:highlight w:val="none"/>
              </w:rPr>
            </w:pPr>
            <w:r>
              <w:rPr>
                <w:color w:val="auto"/>
                <w:szCs w:val="21"/>
                <w:highlight w:val="none"/>
              </w:rPr>
              <w:t>GB/T 8813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4" w:type="pct"/>
            <w:vAlign w:val="center"/>
          </w:tcPr>
          <w:p>
            <w:pPr>
              <w:spacing w:before="100" w:after="100"/>
              <w:jc w:val="center"/>
              <w:rPr>
                <w:color w:val="auto"/>
                <w:szCs w:val="21"/>
                <w:highlight w:val="none"/>
              </w:rPr>
            </w:pPr>
            <w:r>
              <w:rPr>
                <w:color w:val="auto"/>
                <w:szCs w:val="21"/>
                <w:highlight w:val="none"/>
              </w:rPr>
              <w:t>7</w:t>
            </w:r>
          </w:p>
        </w:tc>
        <w:tc>
          <w:tcPr>
            <w:tcW w:w="1813" w:type="pct"/>
            <w:vAlign w:val="center"/>
          </w:tcPr>
          <w:p>
            <w:pPr>
              <w:spacing w:before="100" w:after="100"/>
              <w:jc w:val="center"/>
              <w:rPr>
                <w:color w:val="auto"/>
                <w:szCs w:val="21"/>
                <w:highlight w:val="none"/>
              </w:rPr>
            </w:pPr>
            <w:r>
              <w:rPr>
                <w:rFonts w:hint="eastAsia"/>
                <w:color w:val="auto"/>
                <w:szCs w:val="21"/>
                <w:highlight w:val="none"/>
              </w:rPr>
              <w:t>燃烧性能</w:t>
            </w:r>
          </w:p>
        </w:tc>
        <w:tc>
          <w:tcPr>
            <w:tcW w:w="1637" w:type="pct"/>
            <w:vAlign w:val="center"/>
          </w:tcPr>
          <w:p>
            <w:pPr>
              <w:spacing w:before="100" w:after="100"/>
              <w:jc w:val="center"/>
              <w:rPr>
                <w:color w:val="auto"/>
                <w:szCs w:val="21"/>
                <w:highlight w:val="none"/>
              </w:rPr>
            </w:pPr>
            <w:r>
              <w:rPr>
                <w:rFonts w:hint="eastAsia"/>
                <w:color w:val="auto"/>
                <w:szCs w:val="21"/>
                <w:highlight w:val="none"/>
              </w:rPr>
              <w:t>不应低于</w:t>
            </w:r>
            <w:r>
              <w:rPr>
                <w:color w:val="auto"/>
                <w:szCs w:val="21"/>
                <w:highlight w:val="none"/>
              </w:rPr>
              <w:t>B1</w:t>
            </w:r>
            <w:r>
              <w:rPr>
                <w:rFonts w:hint="eastAsia"/>
                <w:color w:val="auto"/>
                <w:szCs w:val="21"/>
                <w:highlight w:val="none"/>
              </w:rPr>
              <w:t>级</w:t>
            </w:r>
          </w:p>
        </w:tc>
        <w:tc>
          <w:tcPr>
            <w:tcW w:w="1194" w:type="pct"/>
            <w:vAlign w:val="center"/>
          </w:tcPr>
          <w:p>
            <w:pPr>
              <w:spacing w:before="100" w:after="100"/>
              <w:jc w:val="center"/>
              <w:rPr>
                <w:color w:val="auto"/>
                <w:szCs w:val="21"/>
                <w:highlight w:val="none"/>
              </w:rPr>
            </w:pPr>
            <w:r>
              <w:rPr>
                <w:color w:val="auto"/>
                <w:szCs w:val="21"/>
                <w:highlight w:val="none"/>
              </w:rPr>
              <w:t>GB 8624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jc w:val="center"/>
        </w:trPr>
        <w:tc>
          <w:tcPr>
            <w:tcW w:w="354" w:type="pct"/>
            <w:vAlign w:val="center"/>
          </w:tcPr>
          <w:p>
            <w:pPr>
              <w:spacing w:before="100" w:after="100"/>
              <w:jc w:val="center"/>
              <w:rPr>
                <w:color w:val="auto"/>
                <w:szCs w:val="21"/>
                <w:highlight w:val="none"/>
              </w:rPr>
            </w:pPr>
            <w:r>
              <w:rPr>
                <w:color w:val="auto"/>
                <w:szCs w:val="21"/>
                <w:highlight w:val="none"/>
              </w:rPr>
              <w:t>8</w:t>
            </w:r>
          </w:p>
        </w:tc>
        <w:tc>
          <w:tcPr>
            <w:tcW w:w="1813" w:type="pct"/>
            <w:vAlign w:val="center"/>
          </w:tcPr>
          <w:p>
            <w:pPr>
              <w:spacing w:before="100" w:after="100"/>
              <w:jc w:val="center"/>
              <w:rPr>
                <w:color w:val="auto"/>
                <w:szCs w:val="21"/>
                <w:highlight w:val="none"/>
              </w:rPr>
            </w:pPr>
            <w:r>
              <w:rPr>
                <w:rFonts w:hint="eastAsia"/>
                <w:color w:val="auto"/>
                <w:szCs w:val="21"/>
                <w:highlight w:val="none"/>
              </w:rPr>
              <w:t>氧指数（</w:t>
            </w:r>
            <w:r>
              <w:rPr>
                <w:color w:val="auto"/>
                <w:szCs w:val="21"/>
                <w:highlight w:val="none"/>
              </w:rPr>
              <w:t>%</w:t>
            </w:r>
            <w:r>
              <w:rPr>
                <w:rFonts w:hint="eastAsia"/>
                <w:color w:val="auto"/>
                <w:szCs w:val="21"/>
                <w:highlight w:val="none"/>
              </w:rPr>
              <w:t>）</w:t>
            </w:r>
          </w:p>
        </w:tc>
        <w:tc>
          <w:tcPr>
            <w:tcW w:w="1637" w:type="pct"/>
            <w:vAlign w:val="center"/>
          </w:tcPr>
          <w:p>
            <w:pPr>
              <w:spacing w:before="100" w:after="100"/>
              <w:jc w:val="center"/>
              <w:rPr>
                <w:color w:val="auto"/>
                <w:szCs w:val="21"/>
                <w:highlight w:val="none"/>
              </w:rPr>
            </w:pPr>
            <w:r>
              <w:rPr>
                <w:color w:val="auto"/>
                <w:szCs w:val="21"/>
                <w:highlight w:val="none"/>
              </w:rPr>
              <w:t>≥30</w:t>
            </w:r>
          </w:p>
        </w:tc>
        <w:tc>
          <w:tcPr>
            <w:tcW w:w="1194" w:type="pct"/>
            <w:vAlign w:val="center"/>
          </w:tcPr>
          <w:p>
            <w:pPr>
              <w:spacing w:before="100" w:after="100"/>
              <w:jc w:val="center"/>
              <w:rPr>
                <w:color w:val="auto"/>
                <w:szCs w:val="21"/>
                <w:highlight w:val="none"/>
              </w:rPr>
            </w:pPr>
            <w:r>
              <w:rPr>
                <w:color w:val="auto"/>
                <w:szCs w:val="21"/>
                <w:highlight w:val="none"/>
              </w:rPr>
              <w:t>GB/T 2406.2</w:t>
            </w:r>
          </w:p>
        </w:tc>
      </w:tr>
    </w:tbl>
    <w:p>
      <w:pPr>
        <w:widowControl/>
        <w:spacing w:line="360" w:lineRule="auto"/>
        <w:jc w:val="left"/>
        <w:outlineLvl w:val="2"/>
        <w:rPr>
          <w:rFonts w:hAnsi="宋体"/>
          <w:color w:val="auto"/>
          <w:sz w:val="24"/>
          <w:highlight w:val="none"/>
        </w:rPr>
      </w:pPr>
      <w:r>
        <w:rPr>
          <w:rFonts w:hint="eastAsia"/>
          <w:b/>
          <w:color w:val="auto"/>
          <w:sz w:val="24"/>
          <w:highlight w:val="none"/>
        </w:rPr>
        <w:t>4.3.4</w:t>
      </w:r>
      <w:r>
        <w:rPr>
          <w:rFonts w:hint="eastAsia"/>
          <w:color w:val="auto"/>
          <w:sz w:val="24"/>
          <w:highlight w:val="none"/>
        </w:rPr>
        <w:t xml:space="preserve"> 内保温复合板用</w:t>
      </w:r>
      <w:r>
        <w:rPr>
          <w:rFonts w:hAnsi="宋体"/>
          <w:color w:val="auto"/>
          <w:sz w:val="24"/>
          <w:highlight w:val="none"/>
        </w:rPr>
        <w:t>增强型改性发泡水泥保温板</w:t>
      </w:r>
      <w:r>
        <w:rPr>
          <w:rFonts w:hint="eastAsia" w:hAnsi="宋体"/>
          <w:color w:val="auto"/>
          <w:sz w:val="24"/>
          <w:highlight w:val="none"/>
        </w:rPr>
        <w:t>的性能应符合表4.3.4 的规定。</w:t>
      </w:r>
    </w:p>
    <w:p>
      <w:pPr>
        <w:jc w:val="center"/>
        <w:rPr>
          <w:rFonts w:hint="eastAsia" w:hAnsi="宋体"/>
          <w:b/>
          <w:color w:val="auto"/>
          <w:szCs w:val="21"/>
          <w:highlight w:val="none"/>
        </w:rPr>
      </w:pPr>
      <w:r>
        <w:rPr>
          <w:rFonts w:hint="eastAsia" w:hAnsi="宋体"/>
          <w:b/>
          <w:color w:val="auto"/>
          <w:szCs w:val="21"/>
          <w:highlight w:val="none"/>
        </w:rPr>
        <w:t>表4.3.4增强型改性发泡水泥保温板性能指标</w:t>
      </w:r>
    </w:p>
    <w:tbl>
      <w:tblPr>
        <w:tblStyle w:val="24"/>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0"/>
        <w:gridCol w:w="1394"/>
        <w:gridCol w:w="1729"/>
        <w:gridCol w:w="17"/>
        <w:gridCol w:w="1762"/>
        <w:gridCol w:w="2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3474" w:type="dxa"/>
            <w:gridSpan w:val="2"/>
            <w:vMerge w:val="restart"/>
            <w:vAlign w:val="center"/>
          </w:tcPr>
          <w:p>
            <w:pPr>
              <w:jc w:val="center"/>
              <w:rPr>
                <w:color w:val="auto"/>
                <w:szCs w:val="21"/>
                <w:highlight w:val="none"/>
              </w:rPr>
            </w:pPr>
            <w:r>
              <w:rPr>
                <w:rFonts w:hint="eastAsia"/>
                <w:color w:val="auto"/>
                <w:szCs w:val="21"/>
                <w:highlight w:val="none"/>
              </w:rPr>
              <w:t>项目</w:t>
            </w:r>
          </w:p>
        </w:tc>
        <w:tc>
          <w:tcPr>
            <w:tcW w:w="3508" w:type="dxa"/>
            <w:gridSpan w:val="3"/>
            <w:vAlign w:val="center"/>
          </w:tcPr>
          <w:p>
            <w:pPr>
              <w:jc w:val="center"/>
              <w:rPr>
                <w:color w:val="auto"/>
                <w:szCs w:val="21"/>
                <w:highlight w:val="none"/>
              </w:rPr>
            </w:pPr>
            <w:r>
              <w:rPr>
                <w:rFonts w:hint="eastAsia"/>
                <w:color w:val="auto"/>
                <w:szCs w:val="21"/>
                <w:highlight w:val="none"/>
              </w:rPr>
              <w:t>技术要求</w:t>
            </w:r>
          </w:p>
        </w:tc>
        <w:tc>
          <w:tcPr>
            <w:tcW w:w="2089" w:type="dxa"/>
            <w:vMerge w:val="restart"/>
            <w:vAlign w:val="center"/>
          </w:tcPr>
          <w:p>
            <w:pPr>
              <w:jc w:val="center"/>
              <w:rPr>
                <w:color w:val="auto"/>
                <w:szCs w:val="21"/>
                <w:highlight w:val="none"/>
              </w:rPr>
            </w:pPr>
            <w:r>
              <w:rPr>
                <w:rFonts w:hint="eastAsia"/>
                <w:color w:val="auto"/>
                <w:szCs w:val="21"/>
                <w:highlight w:val="none"/>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3474" w:type="dxa"/>
            <w:gridSpan w:val="2"/>
            <w:vMerge w:val="continue"/>
            <w:vAlign w:val="center"/>
          </w:tcPr>
          <w:p>
            <w:pPr>
              <w:jc w:val="center"/>
              <w:rPr>
                <w:color w:val="auto"/>
                <w:szCs w:val="21"/>
                <w:highlight w:val="none"/>
              </w:rPr>
            </w:pPr>
          </w:p>
        </w:tc>
        <w:tc>
          <w:tcPr>
            <w:tcW w:w="1746" w:type="dxa"/>
            <w:gridSpan w:val="2"/>
            <w:vAlign w:val="center"/>
          </w:tcPr>
          <w:p>
            <w:pPr>
              <w:jc w:val="center"/>
              <w:rPr>
                <w:color w:val="auto"/>
                <w:szCs w:val="21"/>
                <w:highlight w:val="none"/>
              </w:rPr>
            </w:pPr>
            <w:r>
              <w:rPr>
                <w:color w:val="auto"/>
                <w:szCs w:val="21"/>
                <w:highlight w:val="none"/>
              </w:rPr>
              <w:t>A</w:t>
            </w:r>
            <w:r>
              <w:rPr>
                <w:rFonts w:hint="eastAsia"/>
                <w:color w:val="auto"/>
                <w:szCs w:val="21"/>
                <w:highlight w:val="none"/>
              </w:rPr>
              <w:t>型</w:t>
            </w:r>
          </w:p>
        </w:tc>
        <w:tc>
          <w:tcPr>
            <w:tcW w:w="1762" w:type="dxa"/>
            <w:vAlign w:val="center"/>
          </w:tcPr>
          <w:p>
            <w:pPr>
              <w:jc w:val="center"/>
              <w:rPr>
                <w:color w:val="auto"/>
                <w:szCs w:val="21"/>
                <w:highlight w:val="none"/>
              </w:rPr>
            </w:pPr>
            <w:r>
              <w:rPr>
                <w:color w:val="auto"/>
                <w:szCs w:val="21"/>
                <w:highlight w:val="none"/>
              </w:rPr>
              <w:t>B</w:t>
            </w:r>
            <w:r>
              <w:rPr>
                <w:rFonts w:hint="eastAsia"/>
                <w:color w:val="auto"/>
                <w:szCs w:val="21"/>
                <w:highlight w:val="none"/>
              </w:rPr>
              <w:t>型</w:t>
            </w:r>
          </w:p>
        </w:tc>
        <w:tc>
          <w:tcPr>
            <w:tcW w:w="2089" w:type="dxa"/>
            <w:vMerge w:val="continue"/>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3474" w:type="dxa"/>
            <w:gridSpan w:val="2"/>
            <w:vAlign w:val="center"/>
          </w:tcPr>
          <w:p>
            <w:pPr>
              <w:jc w:val="center"/>
              <w:rPr>
                <w:rFonts w:hint="eastAsia" w:eastAsia="宋体"/>
                <w:color w:val="auto"/>
                <w:szCs w:val="21"/>
                <w:highlight w:val="none"/>
                <w:lang w:eastAsia="zh-CN"/>
              </w:rPr>
            </w:pPr>
            <w:r>
              <w:rPr>
                <w:rFonts w:hint="eastAsia"/>
                <w:color w:val="auto"/>
                <w:szCs w:val="21"/>
                <w:highlight w:val="none"/>
              </w:rPr>
              <w:t>干表观密度</w:t>
            </w:r>
            <w:r>
              <w:rPr>
                <w:rFonts w:hint="eastAsia"/>
                <w:color w:val="auto"/>
                <w:szCs w:val="21"/>
                <w:highlight w:val="none"/>
                <w:lang w:eastAsia="zh-CN"/>
              </w:rPr>
              <w:t>（</w:t>
            </w:r>
            <w:r>
              <w:rPr>
                <w:color w:val="auto"/>
                <w:szCs w:val="21"/>
                <w:highlight w:val="none"/>
              </w:rPr>
              <w:t>kg/m</w:t>
            </w:r>
            <w:r>
              <w:rPr>
                <w:color w:val="auto"/>
                <w:szCs w:val="21"/>
                <w:highlight w:val="none"/>
                <w:vertAlign w:val="superscript"/>
              </w:rPr>
              <w:t>3</w:t>
            </w:r>
            <w:r>
              <w:rPr>
                <w:rFonts w:hint="eastAsia"/>
                <w:color w:val="auto"/>
                <w:szCs w:val="21"/>
                <w:highlight w:val="none"/>
                <w:lang w:eastAsia="zh-CN"/>
              </w:rPr>
              <w:t>）</w:t>
            </w:r>
          </w:p>
        </w:tc>
        <w:tc>
          <w:tcPr>
            <w:tcW w:w="1746" w:type="dxa"/>
            <w:gridSpan w:val="2"/>
            <w:vAlign w:val="center"/>
          </w:tcPr>
          <w:p>
            <w:pPr>
              <w:jc w:val="center"/>
              <w:rPr>
                <w:color w:val="auto"/>
                <w:szCs w:val="21"/>
                <w:highlight w:val="none"/>
              </w:rPr>
            </w:pPr>
            <w:r>
              <w:rPr>
                <w:rFonts w:hint="eastAsia" w:ascii="宋体"/>
                <w:color w:val="auto"/>
                <w:szCs w:val="21"/>
                <w:highlight w:val="none"/>
              </w:rPr>
              <w:t>≤</w:t>
            </w:r>
            <w:r>
              <w:rPr>
                <w:rFonts w:hint="eastAsia"/>
                <w:color w:val="auto"/>
                <w:szCs w:val="21"/>
                <w:highlight w:val="none"/>
              </w:rPr>
              <w:t>180</w:t>
            </w:r>
          </w:p>
        </w:tc>
        <w:tc>
          <w:tcPr>
            <w:tcW w:w="1762" w:type="dxa"/>
            <w:vAlign w:val="center"/>
          </w:tcPr>
          <w:p>
            <w:pPr>
              <w:jc w:val="center"/>
              <w:rPr>
                <w:color w:val="auto"/>
                <w:szCs w:val="21"/>
                <w:highlight w:val="none"/>
              </w:rPr>
            </w:pPr>
            <w:r>
              <w:rPr>
                <w:rFonts w:hint="eastAsia" w:ascii="宋体"/>
                <w:color w:val="auto"/>
                <w:szCs w:val="21"/>
                <w:highlight w:val="none"/>
              </w:rPr>
              <w:t>≤</w:t>
            </w:r>
            <w:r>
              <w:rPr>
                <w:rFonts w:hint="eastAsia"/>
                <w:color w:val="auto"/>
                <w:szCs w:val="21"/>
                <w:highlight w:val="none"/>
              </w:rPr>
              <w:t>250</w:t>
            </w:r>
          </w:p>
        </w:tc>
        <w:tc>
          <w:tcPr>
            <w:tcW w:w="2089" w:type="dxa"/>
            <w:vAlign w:val="center"/>
          </w:tcPr>
          <w:p>
            <w:pPr>
              <w:jc w:val="center"/>
              <w:rPr>
                <w:color w:val="auto"/>
                <w:szCs w:val="21"/>
                <w:highlight w:val="none"/>
              </w:rPr>
            </w:pPr>
            <w:r>
              <w:rPr>
                <w:color w:val="auto"/>
                <w:szCs w:val="21"/>
                <w:highlight w:val="none"/>
              </w:rPr>
              <w:t>GB/T 5486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3474" w:type="dxa"/>
            <w:gridSpan w:val="2"/>
            <w:vAlign w:val="center"/>
          </w:tcPr>
          <w:p>
            <w:pPr>
              <w:jc w:val="center"/>
              <w:rPr>
                <w:rFonts w:hint="default" w:eastAsia="宋体"/>
                <w:color w:val="auto"/>
                <w:szCs w:val="21"/>
                <w:highlight w:val="none"/>
                <w:lang w:val="en-US" w:eastAsia="zh-CN"/>
              </w:rPr>
            </w:pPr>
            <w:r>
              <w:rPr>
                <w:rFonts w:hint="eastAsia"/>
                <w:color w:val="auto"/>
                <w:szCs w:val="21"/>
                <w:highlight w:val="none"/>
              </w:rPr>
              <w:t>导热系数</w:t>
            </w:r>
            <w:r>
              <w:rPr>
                <w:rFonts w:hint="eastAsia"/>
                <w:color w:val="auto"/>
                <w:szCs w:val="21"/>
                <w:highlight w:val="none"/>
                <w:lang w:val="en-US" w:eastAsia="zh-CN"/>
              </w:rPr>
              <w:t>[</w:t>
            </w:r>
            <w:r>
              <w:rPr>
                <w:color w:val="auto"/>
                <w:szCs w:val="21"/>
                <w:highlight w:val="none"/>
              </w:rPr>
              <w:t>W/</w:t>
            </w:r>
            <w:r>
              <w:rPr>
                <w:rFonts w:hint="eastAsia"/>
                <w:color w:val="auto"/>
                <w:szCs w:val="21"/>
                <w:highlight w:val="none"/>
              </w:rPr>
              <w:t>（</w:t>
            </w:r>
            <w:r>
              <w:rPr>
                <w:color w:val="auto"/>
                <w:szCs w:val="21"/>
                <w:highlight w:val="none"/>
              </w:rPr>
              <w:t>m</w:t>
            </w:r>
            <w:r>
              <w:rPr>
                <w:rFonts w:hint="eastAsia"/>
                <w:color w:val="auto"/>
                <w:szCs w:val="21"/>
                <w:highlight w:val="none"/>
              </w:rPr>
              <w:t>·</w:t>
            </w:r>
            <w:r>
              <w:rPr>
                <w:color w:val="auto"/>
                <w:szCs w:val="21"/>
                <w:highlight w:val="none"/>
              </w:rPr>
              <w:t>K</w:t>
            </w:r>
            <w:r>
              <w:rPr>
                <w:rFonts w:hint="eastAsia"/>
                <w:color w:val="auto"/>
                <w:szCs w:val="21"/>
                <w:highlight w:val="none"/>
              </w:rPr>
              <w:t>）</w:t>
            </w:r>
            <w:r>
              <w:rPr>
                <w:rFonts w:hint="eastAsia"/>
                <w:color w:val="auto"/>
                <w:szCs w:val="21"/>
                <w:highlight w:val="none"/>
                <w:lang w:val="en-US" w:eastAsia="zh-CN"/>
              </w:rPr>
              <w:t>]</w:t>
            </w:r>
          </w:p>
        </w:tc>
        <w:tc>
          <w:tcPr>
            <w:tcW w:w="1746" w:type="dxa"/>
            <w:gridSpan w:val="2"/>
            <w:vAlign w:val="center"/>
          </w:tcPr>
          <w:p>
            <w:pPr>
              <w:jc w:val="center"/>
              <w:rPr>
                <w:rFonts w:ascii="宋体"/>
                <w:color w:val="auto"/>
                <w:szCs w:val="21"/>
                <w:highlight w:val="none"/>
              </w:rPr>
            </w:pPr>
            <w:r>
              <w:rPr>
                <w:color w:val="auto"/>
                <w:szCs w:val="21"/>
                <w:highlight w:val="none"/>
              </w:rPr>
              <w:t>≤0.0</w:t>
            </w:r>
            <w:r>
              <w:rPr>
                <w:rFonts w:hint="eastAsia"/>
                <w:color w:val="auto"/>
                <w:szCs w:val="21"/>
                <w:highlight w:val="none"/>
              </w:rPr>
              <w:t>55</w:t>
            </w:r>
          </w:p>
        </w:tc>
        <w:tc>
          <w:tcPr>
            <w:tcW w:w="1762" w:type="dxa"/>
            <w:vAlign w:val="center"/>
          </w:tcPr>
          <w:p>
            <w:pPr>
              <w:spacing w:before="100" w:after="100"/>
              <w:jc w:val="center"/>
              <w:rPr>
                <w:b/>
                <w:color w:val="auto"/>
                <w:szCs w:val="21"/>
                <w:highlight w:val="none"/>
              </w:rPr>
            </w:pPr>
            <w:r>
              <w:rPr>
                <w:color w:val="auto"/>
                <w:szCs w:val="21"/>
                <w:highlight w:val="none"/>
              </w:rPr>
              <w:t>≤0.0</w:t>
            </w:r>
            <w:r>
              <w:rPr>
                <w:rFonts w:hint="eastAsia"/>
                <w:color w:val="auto"/>
                <w:szCs w:val="21"/>
                <w:highlight w:val="none"/>
              </w:rPr>
              <w:t>70</w:t>
            </w:r>
          </w:p>
        </w:tc>
        <w:tc>
          <w:tcPr>
            <w:tcW w:w="2089" w:type="dxa"/>
            <w:vAlign w:val="center"/>
          </w:tcPr>
          <w:p>
            <w:pPr>
              <w:spacing w:before="100" w:after="100"/>
              <w:jc w:val="center"/>
              <w:rPr>
                <w:color w:val="auto"/>
                <w:szCs w:val="21"/>
                <w:highlight w:val="none"/>
              </w:rPr>
            </w:pPr>
            <w:r>
              <w:rPr>
                <w:color w:val="auto"/>
                <w:szCs w:val="21"/>
                <w:highlight w:val="none"/>
              </w:rPr>
              <w:t>GB/T 10294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3474" w:type="dxa"/>
            <w:gridSpan w:val="2"/>
            <w:vAlign w:val="center"/>
          </w:tcPr>
          <w:p>
            <w:pPr>
              <w:jc w:val="center"/>
              <w:rPr>
                <w:rFonts w:hint="eastAsia" w:eastAsia="宋体"/>
                <w:color w:val="auto"/>
                <w:szCs w:val="21"/>
                <w:highlight w:val="none"/>
                <w:lang w:eastAsia="zh-CN"/>
              </w:rPr>
            </w:pPr>
            <w:r>
              <w:rPr>
                <w:rFonts w:hint="eastAsia"/>
                <w:color w:val="auto"/>
                <w:szCs w:val="21"/>
                <w:highlight w:val="none"/>
              </w:rPr>
              <w:t>抗压强度</w:t>
            </w:r>
            <w:r>
              <w:rPr>
                <w:rFonts w:hint="eastAsia"/>
                <w:color w:val="auto"/>
                <w:szCs w:val="21"/>
                <w:highlight w:val="none"/>
                <w:lang w:eastAsia="zh-CN"/>
              </w:rPr>
              <w:t>（</w:t>
            </w:r>
            <w:r>
              <w:rPr>
                <w:color w:val="auto"/>
                <w:szCs w:val="21"/>
                <w:highlight w:val="none"/>
              </w:rPr>
              <w:t>MPa</w:t>
            </w:r>
            <w:r>
              <w:rPr>
                <w:rFonts w:hint="eastAsia"/>
                <w:color w:val="auto"/>
                <w:szCs w:val="21"/>
                <w:highlight w:val="none"/>
                <w:lang w:eastAsia="zh-CN"/>
              </w:rPr>
              <w:t>）</w:t>
            </w:r>
          </w:p>
        </w:tc>
        <w:tc>
          <w:tcPr>
            <w:tcW w:w="1746" w:type="dxa"/>
            <w:gridSpan w:val="2"/>
            <w:vAlign w:val="center"/>
          </w:tcPr>
          <w:p>
            <w:pPr>
              <w:jc w:val="center"/>
              <w:rPr>
                <w:color w:val="auto"/>
                <w:szCs w:val="21"/>
                <w:highlight w:val="none"/>
              </w:rPr>
            </w:pPr>
            <w:r>
              <w:rPr>
                <w:rFonts w:hint="eastAsia" w:ascii="宋体"/>
                <w:color w:val="auto"/>
                <w:szCs w:val="21"/>
                <w:highlight w:val="none"/>
              </w:rPr>
              <w:t>≥</w:t>
            </w:r>
            <w:r>
              <w:rPr>
                <w:color w:val="auto"/>
                <w:szCs w:val="21"/>
                <w:highlight w:val="none"/>
              </w:rPr>
              <w:t>0.30</w:t>
            </w:r>
          </w:p>
        </w:tc>
        <w:tc>
          <w:tcPr>
            <w:tcW w:w="1762" w:type="dxa"/>
            <w:vAlign w:val="center"/>
          </w:tcPr>
          <w:p>
            <w:pPr>
              <w:jc w:val="center"/>
              <w:rPr>
                <w:color w:val="auto"/>
                <w:szCs w:val="21"/>
                <w:highlight w:val="none"/>
              </w:rPr>
            </w:pPr>
            <w:r>
              <w:rPr>
                <w:rFonts w:hint="eastAsia" w:ascii="宋体"/>
                <w:color w:val="auto"/>
                <w:szCs w:val="21"/>
                <w:highlight w:val="none"/>
              </w:rPr>
              <w:t>≥</w:t>
            </w:r>
            <w:r>
              <w:rPr>
                <w:color w:val="auto"/>
                <w:szCs w:val="21"/>
                <w:highlight w:val="none"/>
              </w:rPr>
              <w:t>0.50</w:t>
            </w:r>
          </w:p>
        </w:tc>
        <w:tc>
          <w:tcPr>
            <w:tcW w:w="2089" w:type="dxa"/>
            <w:vAlign w:val="center"/>
          </w:tcPr>
          <w:p>
            <w:pPr>
              <w:jc w:val="center"/>
              <w:rPr>
                <w:color w:val="auto"/>
                <w:szCs w:val="21"/>
                <w:highlight w:val="none"/>
              </w:rPr>
            </w:pPr>
            <w:r>
              <w:rPr>
                <w:color w:val="auto"/>
                <w:szCs w:val="21"/>
                <w:highlight w:val="none"/>
              </w:rPr>
              <w:t>GB/T 5486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3474" w:type="dxa"/>
            <w:gridSpan w:val="2"/>
            <w:vAlign w:val="center"/>
          </w:tcPr>
          <w:p>
            <w:pPr>
              <w:jc w:val="center"/>
              <w:rPr>
                <w:color w:val="auto"/>
                <w:szCs w:val="21"/>
                <w:highlight w:val="none"/>
              </w:rPr>
            </w:pPr>
            <w:r>
              <w:rPr>
                <w:rFonts w:hint="eastAsia"/>
                <w:color w:val="auto"/>
                <w:szCs w:val="21"/>
                <w:highlight w:val="none"/>
              </w:rPr>
              <w:t>抗折强度</w:t>
            </w:r>
            <w:r>
              <w:rPr>
                <w:rFonts w:hint="eastAsia"/>
                <w:color w:val="auto"/>
                <w:szCs w:val="21"/>
                <w:highlight w:val="none"/>
                <w:lang w:eastAsia="zh-CN"/>
              </w:rPr>
              <w:t>（</w:t>
            </w:r>
            <w:r>
              <w:rPr>
                <w:color w:val="auto"/>
                <w:szCs w:val="21"/>
                <w:highlight w:val="none"/>
              </w:rPr>
              <w:t>MPa</w:t>
            </w:r>
            <w:r>
              <w:rPr>
                <w:rFonts w:hint="eastAsia"/>
                <w:color w:val="auto"/>
                <w:szCs w:val="21"/>
                <w:highlight w:val="none"/>
                <w:lang w:eastAsia="zh-CN"/>
              </w:rPr>
              <w:t>）</w:t>
            </w:r>
          </w:p>
        </w:tc>
        <w:tc>
          <w:tcPr>
            <w:tcW w:w="1746" w:type="dxa"/>
            <w:gridSpan w:val="2"/>
            <w:vAlign w:val="center"/>
          </w:tcPr>
          <w:p>
            <w:pPr>
              <w:jc w:val="center"/>
              <w:rPr>
                <w:color w:val="auto"/>
                <w:szCs w:val="21"/>
                <w:highlight w:val="none"/>
              </w:rPr>
            </w:pPr>
            <w:r>
              <w:rPr>
                <w:rFonts w:hint="eastAsia" w:ascii="宋体"/>
                <w:color w:val="auto"/>
                <w:szCs w:val="21"/>
                <w:highlight w:val="none"/>
              </w:rPr>
              <w:t>≥</w:t>
            </w:r>
            <w:r>
              <w:rPr>
                <w:color w:val="auto"/>
                <w:szCs w:val="21"/>
                <w:highlight w:val="none"/>
              </w:rPr>
              <w:t>0.30</w:t>
            </w:r>
          </w:p>
        </w:tc>
        <w:tc>
          <w:tcPr>
            <w:tcW w:w="1762" w:type="dxa"/>
            <w:vAlign w:val="center"/>
          </w:tcPr>
          <w:p>
            <w:pPr>
              <w:jc w:val="center"/>
              <w:rPr>
                <w:color w:val="auto"/>
                <w:szCs w:val="21"/>
                <w:highlight w:val="none"/>
              </w:rPr>
            </w:pPr>
            <w:r>
              <w:rPr>
                <w:rFonts w:hint="eastAsia" w:ascii="宋体"/>
                <w:color w:val="auto"/>
                <w:szCs w:val="21"/>
                <w:highlight w:val="none"/>
              </w:rPr>
              <w:t>≥</w:t>
            </w:r>
            <w:r>
              <w:rPr>
                <w:color w:val="auto"/>
                <w:szCs w:val="21"/>
                <w:highlight w:val="none"/>
              </w:rPr>
              <w:t>0.50</w:t>
            </w:r>
          </w:p>
        </w:tc>
        <w:tc>
          <w:tcPr>
            <w:tcW w:w="2089" w:type="dxa"/>
            <w:vAlign w:val="center"/>
          </w:tcPr>
          <w:p>
            <w:pPr>
              <w:jc w:val="center"/>
              <w:rPr>
                <w:color w:val="auto"/>
                <w:szCs w:val="21"/>
                <w:highlight w:val="none"/>
              </w:rPr>
            </w:pPr>
            <w:r>
              <w:rPr>
                <w:color w:val="auto"/>
                <w:szCs w:val="21"/>
                <w:highlight w:val="none"/>
              </w:rPr>
              <w:t>GB/T 5486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3474" w:type="dxa"/>
            <w:gridSpan w:val="2"/>
            <w:vAlign w:val="center"/>
          </w:tcPr>
          <w:p>
            <w:pPr>
              <w:jc w:val="center"/>
              <w:rPr>
                <w:color w:val="auto"/>
                <w:szCs w:val="21"/>
                <w:highlight w:val="none"/>
              </w:rPr>
            </w:pPr>
            <w:r>
              <w:rPr>
                <w:rFonts w:hint="eastAsia"/>
                <w:color w:val="auto"/>
                <w:szCs w:val="21"/>
                <w:highlight w:val="none"/>
              </w:rPr>
              <w:t>垂直于板面的抗拉强度</w:t>
            </w:r>
            <w:r>
              <w:rPr>
                <w:rFonts w:hint="eastAsia"/>
                <w:color w:val="auto"/>
                <w:szCs w:val="21"/>
                <w:highlight w:val="none"/>
                <w:lang w:eastAsia="zh-CN"/>
              </w:rPr>
              <w:t>（</w:t>
            </w:r>
            <w:r>
              <w:rPr>
                <w:color w:val="auto"/>
                <w:szCs w:val="21"/>
                <w:highlight w:val="none"/>
              </w:rPr>
              <w:t>MPa</w:t>
            </w:r>
            <w:r>
              <w:rPr>
                <w:rFonts w:hint="eastAsia"/>
                <w:color w:val="auto"/>
                <w:szCs w:val="21"/>
                <w:highlight w:val="none"/>
                <w:lang w:eastAsia="zh-CN"/>
              </w:rPr>
              <w:t>）</w:t>
            </w:r>
          </w:p>
        </w:tc>
        <w:tc>
          <w:tcPr>
            <w:tcW w:w="1746" w:type="dxa"/>
            <w:gridSpan w:val="2"/>
            <w:vAlign w:val="center"/>
          </w:tcPr>
          <w:p>
            <w:pPr>
              <w:jc w:val="center"/>
              <w:rPr>
                <w:color w:val="auto"/>
                <w:szCs w:val="21"/>
                <w:highlight w:val="none"/>
              </w:rPr>
            </w:pPr>
            <w:r>
              <w:rPr>
                <w:rFonts w:hint="eastAsia" w:ascii="宋体"/>
                <w:color w:val="auto"/>
                <w:szCs w:val="21"/>
                <w:highlight w:val="none"/>
              </w:rPr>
              <w:t>≥</w:t>
            </w:r>
            <w:r>
              <w:rPr>
                <w:color w:val="auto"/>
                <w:szCs w:val="21"/>
                <w:highlight w:val="none"/>
              </w:rPr>
              <w:t>0.10</w:t>
            </w:r>
          </w:p>
        </w:tc>
        <w:tc>
          <w:tcPr>
            <w:tcW w:w="1762" w:type="dxa"/>
            <w:vAlign w:val="center"/>
          </w:tcPr>
          <w:p>
            <w:pPr>
              <w:jc w:val="center"/>
              <w:rPr>
                <w:color w:val="auto"/>
                <w:szCs w:val="21"/>
                <w:highlight w:val="none"/>
              </w:rPr>
            </w:pPr>
            <w:r>
              <w:rPr>
                <w:rFonts w:hint="eastAsia" w:ascii="宋体"/>
                <w:color w:val="auto"/>
                <w:szCs w:val="21"/>
                <w:highlight w:val="none"/>
              </w:rPr>
              <w:t>≥</w:t>
            </w:r>
            <w:r>
              <w:rPr>
                <w:color w:val="auto"/>
                <w:szCs w:val="21"/>
                <w:highlight w:val="none"/>
              </w:rPr>
              <w:t>0.12</w:t>
            </w:r>
          </w:p>
        </w:tc>
        <w:tc>
          <w:tcPr>
            <w:tcW w:w="2089" w:type="dxa"/>
            <w:vAlign w:val="center"/>
          </w:tcPr>
          <w:p>
            <w:pPr>
              <w:jc w:val="center"/>
              <w:rPr>
                <w:color w:val="auto"/>
                <w:szCs w:val="21"/>
                <w:highlight w:val="none"/>
              </w:rPr>
            </w:pPr>
            <w:r>
              <w:rPr>
                <w:color w:val="auto"/>
                <w:szCs w:val="21"/>
                <w:highlight w:val="none"/>
              </w:rPr>
              <w:t>JGJ 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3474" w:type="dxa"/>
            <w:gridSpan w:val="2"/>
            <w:vAlign w:val="center"/>
          </w:tcPr>
          <w:p>
            <w:pPr>
              <w:jc w:val="center"/>
              <w:rPr>
                <w:rFonts w:hint="eastAsia" w:eastAsia="宋体"/>
                <w:color w:val="auto"/>
                <w:szCs w:val="21"/>
                <w:highlight w:val="none"/>
                <w:lang w:eastAsia="zh-CN"/>
              </w:rPr>
            </w:pPr>
            <w:r>
              <w:rPr>
                <w:rFonts w:hint="eastAsia"/>
                <w:color w:val="auto"/>
                <w:szCs w:val="21"/>
                <w:highlight w:val="none"/>
              </w:rPr>
              <w:t>干燥收缩值（快速法）</w:t>
            </w:r>
            <w:r>
              <w:rPr>
                <w:rFonts w:hint="eastAsia"/>
                <w:color w:val="auto"/>
                <w:szCs w:val="21"/>
                <w:highlight w:val="none"/>
                <w:lang w:eastAsia="zh-CN"/>
              </w:rPr>
              <w:t>（</w:t>
            </w:r>
            <w:r>
              <w:rPr>
                <w:color w:val="auto"/>
                <w:szCs w:val="21"/>
                <w:highlight w:val="none"/>
              </w:rPr>
              <w:t>mm/m</w:t>
            </w:r>
            <w:r>
              <w:rPr>
                <w:rFonts w:hint="eastAsia"/>
                <w:color w:val="auto"/>
                <w:szCs w:val="21"/>
                <w:highlight w:val="none"/>
                <w:lang w:eastAsia="zh-CN"/>
              </w:rPr>
              <w:t>）</w:t>
            </w:r>
          </w:p>
        </w:tc>
        <w:tc>
          <w:tcPr>
            <w:tcW w:w="1746" w:type="dxa"/>
            <w:gridSpan w:val="2"/>
            <w:vAlign w:val="center"/>
          </w:tcPr>
          <w:p>
            <w:pPr>
              <w:jc w:val="center"/>
              <w:rPr>
                <w:color w:val="auto"/>
                <w:szCs w:val="21"/>
                <w:highlight w:val="none"/>
              </w:rPr>
            </w:pPr>
            <w:r>
              <w:rPr>
                <w:rFonts w:hint="eastAsia" w:ascii="宋体"/>
                <w:color w:val="auto"/>
                <w:szCs w:val="21"/>
                <w:highlight w:val="none"/>
              </w:rPr>
              <w:t>≤</w:t>
            </w:r>
            <w:r>
              <w:rPr>
                <w:color w:val="auto"/>
                <w:szCs w:val="21"/>
                <w:highlight w:val="none"/>
              </w:rPr>
              <w:t>1.00</w:t>
            </w:r>
          </w:p>
        </w:tc>
        <w:tc>
          <w:tcPr>
            <w:tcW w:w="1762" w:type="dxa"/>
            <w:vAlign w:val="center"/>
          </w:tcPr>
          <w:p>
            <w:pPr>
              <w:jc w:val="center"/>
              <w:rPr>
                <w:color w:val="auto"/>
                <w:szCs w:val="21"/>
                <w:highlight w:val="none"/>
              </w:rPr>
            </w:pPr>
            <w:r>
              <w:rPr>
                <w:rFonts w:hint="eastAsia" w:ascii="宋体"/>
                <w:color w:val="auto"/>
                <w:szCs w:val="21"/>
                <w:highlight w:val="none"/>
              </w:rPr>
              <w:t>≤</w:t>
            </w:r>
            <w:r>
              <w:rPr>
                <w:color w:val="auto"/>
                <w:szCs w:val="21"/>
                <w:highlight w:val="none"/>
              </w:rPr>
              <w:t>0.80</w:t>
            </w:r>
          </w:p>
        </w:tc>
        <w:tc>
          <w:tcPr>
            <w:tcW w:w="2089" w:type="dxa"/>
            <w:vAlign w:val="center"/>
          </w:tcPr>
          <w:p>
            <w:pPr>
              <w:jc w:val="center"/>
              <w:rPr>
                <w:color w:val="auto"/>
                <w:szCs w:val="21"/>
                <w:highlight w:val="none"/>
              </w:rPr>
            </w:pPr>
            <w:r>
              <w:rPr>
                <w:color w:val="auto"/>
                <w:szCs w:val="21"/>
                <w:highlight w:val="none"/>
              </w:rPr>
              <w:t>GB/T 11969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3474" w:type="dxa"/>
            <w:gridSpan w:val="2"/>
            <w:vAlign w:val="center"/>
          </w:tcPr>
          <w:p>
            <w:pPr>
              <w:jc w:val="center"/>
              <w:rPr>
                <w:rFonts w:hint="eastAsia" w:eastAsia="宋体"/>
                <w:color w:val="auto"/>
                <w:szCs w:val="21"/>
                <w:highlight w:val="none"/>
                <w:lang w:eastAsia="zh-CN"/>
              </w:rPr>
            </w:pPr>
            <w:r>
              <w:rPr>
                <w:rFonts w:hint="eastAsia"/>
                <w:color w:val="auto"/>
                <w:szCs w:val="21"/>
                <w:highlight w:val="none"/>
              </w:rPr>
              <w:t>体积吸水率（</w:t>
            </w:r>
            <w:r>
              <w:rPr>
                <w:color w:val="auto"/>
                <w:szCs w:val="21"/>
                <w:highlight w:val="none"/>
              </w:rPr>
              <w:t>V/V</w:t>
            </w:r>
            <w:r>
              <w:rPr>
                <w:rFonts w:hint="eastAsia"/>
                <w:color w:val="auto"/>
                <w:szCs w:val="21"/>
                <w:highlight w:val="none"/>
              </w:rPr>
              <w:t>）</w:t>
            </w:r>
            <w:r>
              <w:rPr>
                <w:rFonts w:hint="eastAsia"/>
                <w:color w:val="auto"/>
                <w:szCs w:val="21"/>
                <w:highlight w:val="none"/>
                <w:lang w:eastAsia="zh-CN"/>
              </w:rPr>
              <w:t>（</w:t>
            </w:r>
            <w:r>
              <w:rPr>
                <w:rFonts w:hint="eastAsia"/>
                <w:color w:val="auto"/>
                <w:szCs w:val="21"/>
                <w:highlight w:val="none"/>
              </w:rPr>
              <w:t>％</w:t>
            </w:r>
            <w:r>
              <w:rPr>
                <w:rFonts w:hint="eastAsia"/>
                <w:color w:val="auto"/>
                <w:szCs w:val="21"/>
                <w:highlight w:val="none"/>
                <w:lang w:eastAsia="zh-CN"/>
              </w:rPr>
              <w:t>）</w:t>
            </w:r>
          </w:p>
        </w:tc>
        <w:tc>
          <w:tcPr>
            <w:tcW w:w="1729" w:type="dxa"/>
            <w:vAlign w:val="center"/>
          </w:tcPr>
          <w:p>
            <w:pPr>
              <w:jc w:val="center"/>
              <w:rPr>
                <w:color w:val="auto"/>
                <w:szCs w:val="21"/>
                <w:highlight w:val="none"/>
              </w:rPr>
            </w:pPr>
            <w:r>
              <w:rPr>
                <w:rFonts w:hint="eastAsia" w:ascii="宋体"/>
                <w:color w:val="auto"/>
                <w:szCs w:val="21"/>
                <w:highlight w:val="none"/>
              </w:rPr>
              <w:t>≤</w:t>
            </w:r>
            <w:r>
              <w:rPr>
                <w:color w:val="auto"/>
                <w:szCs w:val="21"/>
                <w:highlight w:val="none"/>
              </w:rPr>
              <w:t>8.0</w:t>
            </w:r>
          </w:p>
        </w:tc>
        <w:tc>
          <w:tcPr>
            <w:tcW w:w="1779" w:type="dxa"/>
            <w:gridSpan w:val="2"/>
            <w:vAlign w:val="center"/>
          </w:tcPr>
          <w:p>
            <w:pPr>
              <w:jc w:val="center"/>
              <w:rPr>
                <w:color w:val="auto"/>
                <w:szCs w:val="21"/>
                <w:highlight w:val="none"/>
              </w:rPr>
            </w:pPr>
            <w:r>
              <w:rPr>
                <w:rFonts w:hint="eastAsia" w:ascii="宋体"/>
                <w:color w:val="auto"/>
                <w:szCs w:val="21"/>
                <w:highlight w:val="none"/>
              </w:rPr>
              <w:t>≤</w:t>
            </w:r>
            <w:r>
              <w:rPr>
                <w:color w:val="auto"/>
                <w:szCs w:val="21"/>
                <w:highlight w:val="none"/>
              </w:rPr>
              <w:t>8.0</w:t>
            </w:r>
          </w:p>
        </w:tc>
        <w:tc>
          <w:tcPr>
            <w:tcW w:w="2089" w:type="dxa"/>
            <w:vAlign w:val="center"/>
          </w:tcPr>
          <w:p>
            <w:pPr>
              <w:jc w:val="center"/>
              <w:rPr>
                <w:color w:val="auto"/>
                <w:szCs w:val="21"/>
                <w:highlight w:val="none"/>
              </w:rPr>
            </w:pPr>
            <w:r>
              <w:rPr>
                <w:color w:val="auto"/>
                <w:szCs w:val="21"/>
                <w:highlight w:val="none"/>
              </w:rPr>
              <w:t>GB/T 5486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3474" w:type="dxa"/>
            <w:gridSpan w:val="2"/>
            <w:vAlign w:val="center"/>
          </w:tcPr>
          <w:p>
            <w:pPr>
              <w:jc w:val="center"/>
              <w:rPr>
                <w:color w:val="auto"/>
                <w:szCs w:val="21"/>
                <w:highlight w:val="none"/>
              </w:rPr>
            </w:pPr>
            <w:r>
              <w:rPr>
                <w:rFonts w:hint="eastAsia"/>
                <w:color w:val="auto"/>
                <w:szCs w:val="21"/>
                <w:highlight w:val="none"/>
              </w:rPr>
              <w:t>碳化系数</w:t>
            </w:r>
          </w:p>
        </w:tc>
        <w:tc>
          <w:tcPr>
            <w:tcW w:w="1729" w:type="dxa"/>
            <w:vAlign w:val="center"/>
          </w:tcPr>
          <w:p>
            <w:pPr>
              <w:jc w:val="center"/>
              <w:rPr>
                <w:color w:val="auto"/>
                <w:szCs w:val="21"/>
                <w:highlight w:val="none"/>
              </w:rPr>
            </w:pPr>
            <w:r>
              <w:rPr>
                <w:rFonts w:hint="eastAsia" w:ascii="宋体"/>
                <w:color w:val="auto"/>
                <w:szCs w:val="21"/>
                <w:highlight w:val="none"/>
              </w:rPr>
              <w:t>≥</w:t>
            </w:r>
            <w:r>
              <w:rPr>
                <w:color w:val="auto"/>
                <w:szCs w:val="21"/>
                <w:highlight w:val="none"/>
              </w:rPr>
              <w:t>0.70</w:t>
            </w:r>
          </w:p>
        </w:tc>
        <w:tc>
          <w:tcPr>
            <w:tcW w:w="1779" w:type="dxa"/>
            <w:gridSpan w:val="2"/>
            <w:vAlign w:val="center"/>
          </w:tcPr>
          <w:p>
            <w:pPr>
              <w:jc w:val="center"/>
              <w:rPr>
                <w:color w:val="auto"/>
                <w:szCs w:val="21"/>
                <w:highlight w:val="none"/>
              </w:rPr>
            </w:pPr>
            <w:r>
              <w:rPr>
                <w:rFonts w:hint="eastAsia" w:ascii="宋体"/>
                <w:color w:val="auto"/>
                <w:szCs w:val="21"/>
                <w:highlight w:val="none"/>
              </w:rPr>
              <w:t>≥</w:t>
            </w:r>
            <w:r>
              <w:rPr>
                <w:color w:val="auto"/>
                <w:szCs w:val="21"/>
                <w:highlight w:val="none"/>
              </w:rPr>
              <w:t>0.80</w:t>
            </w:r>
          </w:p>
        </w:tc>
        <w:tc>
          <w:tcPr>
            <w:tcW w:w="2089" w:type="dxa"/>
            <w:vAlign w:val="center"/>
          </w:tcPr>
          <w:p>
            <w:pPr>
              <w:jc w:val="center"/>
              <w:rPr>
                <w:color w:val="auto"/>
                <w:szCs w:val="21"/>
                <w:highlight w:val="none"/>
              </w:rPr>
            </w:pPr>
            <w:r>
              <w:rPr>
                <w:color w:val="auto"/>
                <w:szCs w:val="21"/>
                <w:highlight w:val="none"/>
              </w:rPr>
              <w:t>GB/T 11969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2080" w:type="dxa"/>
            <w:vMerge w:val="restart"/>
            <w:vAlign w:val="center"/>
          </w:tcPr>
          <w:p>
            <w:pPr>
              <w:jc w:val="center"/>
              <w:rPr>
                <w:color w:val="auto"/>
                <w:szCs w:val="21"/>
                <w:highlight w:val="none"/>
              </w:rPr>
            </w:pPr>
            <w:r>
              <w:rPr>
                <w:rFonts w:hint="eastAsia"/>
                <w:color w:val="auto"/>
                <w:szCs w:val="21"/>
                <w:highlight w:val="none"/>
              </w:rPr>
              <w:t>放射性</w:t>
            </w:r>
          </w:p>
        </w:tc>
        <w:tc>
          <w:tcPr>
            <w:tcW w:w="1394" w:type="dxa"/>
            <w:vAlign w:val="center"/>
          </w:tcPr>
          <w:p>
            <w:pPr>
              <w:jc w:val="center"/>
              <w:rPr>
                <w:color w:val="auto"/>
                <w:szCs w:val="21"/>
                <w:highlight w:val="none"/>
              </w:rPr>
            </w:pPr>
            <w:r>
              <w:rPr>
                <w:color w:val="auto"/>
                <w:szCs w:val="21"/>
                <w:highlight w:val="none"/>
              </w:rPr>
              <w:t>IRa</w:t>
            </w:r>
          </w:p>
        </w:tc>
        <w:tc>
          <w:tcPr>
            <w:tcW w:w="3508" w:type="dxa"/>
            <w:gridSpan w:val="3"/>
            <w:vAlign w:val="center"/>
          </w:tcPr>
          <w:p>
            <w:pPr>
              <w:jc w:val="center"/>
              <w:rPr>
                <w:color w:val="auto"/>
                <w:szCs w:val="21"/>
                <w:highlight w:val="none"/>
              </w:rPr>
            </w:pPr>
            <w:r>
              <w:rPr>
                <w:rFonts w:hint="eastAsia" w:ascii="宋体"/>
                <w:color w:val="auto"/>
                <w:szCs w:val="21"/>
                <w:highlight w:val="none"/>
              </w:rPr>
              <w:t>≤</w:t>
            </w:r>
            <w:r>
              <w:rPr>
                <w:color w:val="auto"/>
                <w:szCs w:val="21"/>
                <w:highlight w:val="none"/>
              </w:rPr>
              <w:t>1.0</w:t>
            </w:r>
          </w:p>
        </w:tc>
        <w:tc>
          <w:tcPr>
            <w:tcW w:w="2089" w:type="dxa"/>
            <w:vMerge w:val="restart"/>
            <w:vAlign w:val="center"/>
          </w:tcPr>
          <w:p>
            <w:pPr>
              <w:jc w:val="center"/>
              <w:rPr>
                <w:color w:val="auto"/>
                <w:szCs w:val="21"/>
                <w:highlight w:val="none"/>
              </w:rPr>
            </w:pPr>
            <w:r>
              <w:rPr>
                <w:color w:val="auto"/>
                <w:szCs w:val="21"/>
                <w:highlight w:val="none"/>
              </w:rPr>
              <w:t>GB 6566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2080" w:type="dxa"/>
            <w:vMerge w:val="continue"/>
            <w:vAlign w:val="center"/>
          </w:tcPr>
          <w:p>
            <w:pPr>
              <w:jc w:val="center"/>
              <w:rPr>
                <w:color w:val="auto"/>
                <w:szCs w:val="21"/>
                <w:highlight w:val="none"/>
              </w:rPr>
            </w:pPr>
          </w:p>
        </w:tc>
        <w:tc>
          <w:tcPr>
            <w:tcW w:w="1394" w:type="dxa"/>
            <w:vAlign w:val="center"/>
          </w:tcPr>
          <w:p>
            <w:pPr>
              <w:jc w:val="center"/>
              <w:rPr>
                <w:color w:val="auto"/>
                <w:szCs w:val="21"/>
                <w:highlight w:val="none"/>
              </w:rPr>
            </w:pPr>
            <w:r>
              <w:rPr>
                <w:color w:val="auto"/>
                <w:szCs w:val="21"/>
                <w:highlight w:val="none"/>
              </w:rPr>
              <w:t>Ir</w:t>
            </w:r>
          </w:p>
        </w:tc>
        <w:tc>
          <w:tcPr>
            <w:tcW w:w="3508" w:type="dxa"/>
            <w:gridSpan w:val="3"/>
            <w:vAlign w:val="center"/>
          </w:tcPr>
          <w:p>
            <w:pPr>
              <w:jc w:val="center"/>
              <w:rPr>
                <w:color w:val="auto"/>
                <w:szCs w:val="21"/>
                <w:highlight w:val="none"/>
              </w:rPr>
            </w:pPr>
            <w:r>
              <w:rPr>
                <w:rFonts w:hint="eastAsia" w:ascii="宋体"/>
                <w:color w:val="auto"/>
                <w:szCs w:val="21"/>
                <w:highlight w:val="none"/>
              </w:rPr>
              <w:t>≤</w:t>
            </w:r>
            <w:r>
              <w:rPr>
                <w:color w:val="auto"/>
                <w:szCs w:val="21"/>
                <w:highlight w:val="none"/>
              </w:rPr>
              <w:t>1.0</w:t>
            </w:r>
          </w:p>
        </w:tc>
        <w:tc>
          <w:tcPr>
            <w:tcW w:w="2089" w:type="dxa"/>
            <w:vMerge w:val="continue"/>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3474" w:type="dxa"/>
            <w:gridSpan w:val="2"/>
            <w:vAlign w:val="center"/>
          </w:tcPr>
          <w:p>
            <w:pPr>
              <w:jc w:val="center"/>
              <w:rPr>
                <w:color w:val="auto"/>
                <w:szCs w:val="21"/>
                <w:highlight w:val="none"/>
              </w:rPr>
            </w:pPr>
            <w:r>
              <w:rPr>
                <w:rFonts w:hint="eastAsia"/>
                <w:color w:val="auto"/>
                <w:szCs w:val="21"/>
                <w:highlight w:val="none"/>
              </w:rPr>
              <w:t>燃烧性能</w:t>
            </w:r>
          </w:p>
        </w:tc>
        <w:tc>
          <w:tcPr>
            <w:tcW w:w="3508" w:type="dxa"/>
            <w:gridSpan w:val="3"/>
            <w:vAlign w:val="center"/>
          </w:tcPr>
          <w:p>
            <w:pPr>
              <w:jc w:val="center"/>
              <w:rPr>
                <w:color w:val="auto"/>
                <w:szCs w:val="21"/>
                <w:highlight w:val="none"/>
              </w:rPr>
            </w:pPr>
            <w:r>
              <w:rPr>
                <w:rFonts w:hint="eastAsia"/>
                <w:color w:val="auto"/>
                <w:szCs w:val="21"/>
                <w:highlight w:val="none"/>
              </w:rPr>
              <w:t>A</w:t>
            </w:r>
            <w:r>
              <w:rPr>
                <w:color w:val="auto"/>
                <w:szCs w:val="21"/>
                <w:highlight w:val="none"/>
              </w:rPr>
              <w:t>（A</w:t>
            </w:r>
            <w:r>
              <w:rPr>
                <w:rFonts w:hint="eastAsia"/>
                <w:color w:val="auto"/>
                <w:szCs w:val="21"/>
                <w:highlight w:val="none"/>
              </w:rPr>
              <w:t>1</w:t>
            </w:r>
            <w:r>
              <w:rPr>
                <w:color w:val="auto"/>
                <w:szCs w:val="21"/>
                <w:highlight w:val="none"/>
              </w:rPr>
              <w:t>）</w:t>
            </w:r>
            <w:r>
              <w:rPr>
                <w:rFonts w:hint="eastAsia"/>
                <w:color w:val="auto"/>
                <w:szCs w:val="21"/>
                <w:highlight w:val="none"/>
              </w:rPr>
              <w:t>级</w:t>
            </w:r>
          </w:p>
        </w:tc>
        <w:tc>
          <w:tcPr>
            <w:tcW w:w="2089" w:type="dxa"/>
            <w:vAlign w:val="center"/>
          </w:tcPr>
          <w:p>
            <w:pPr>
              <w:jc w:val="center"/>
              <w:rPr>
                <w:color w:val="auto"/>
                <w:szCs w:val="21"/>
                <w:highlight w:val="none"/>
              </w:rPr>
            </w:pPr>
            <w:r>
              <w:rPr>
                <w:color w:val="auto"/>
                <w:szCs w:val="21"/>
                <w:highlight w:val="none"/>
              </w:rPr>
              <w:t>GB 8624</w:t>
            </w:r>
          </w:p>
        </w:tc>
      </w:tr>
    </w:tbl>
    <w:p>
      <w:pPr>
        <w:snapToGrid w:val="0"/>
        <w:spacing w:line="360" w:lineRule="auto"/>
        <w:rPr>
          <w:b/>
          <w:color w:val="auto"/>
          <w:sz w:val="24"/>
          <w:highlight w:val="none"/>
        </w:rPr>
      </w:pPr>
    </w:p>
    <w:p>
      <w:pPr>
        <w:widowControl/>
        <w:spacing w:line="440" w:lineRule="exact"/>
        <w:jc w:val="left"/>
        <w:outlineLvl w:val="2"/>
        <w:rPr>
          <w:b/>
          <w:color w:val="auto"/>
          <w:szCs w:val="21"/>
          <w:highlight w:val="none"/>
        </w:rPr>
      </w:pPr>
      <w:r>
        <w:rPr>
          <w:rFonts w:hint="eastAsia"/>
          <w:b/>
          <w:color w:val="auto"/>
          <w:sz w:val="24"/>
          <w:highlight w:val="none"/>
        </w:rPr>
        <w:t>4.3.5</w:t>
      </w:r>
      <w:r>
        <w:rPr>
          <w:rFonts w:hint="eastAsia"/>
          <w:color w:val="auto"/>
          <w:sz w:val="24"/>
          <w:highlight w:val="none"/>
        </w:rPr>
        <w:t xml:space="preserve"> 内保温复合板用玻化微珠无机保温板</w:t>
      </w:r>
      <w:r>
        <w:rPr>
          <w:color w:val="auto"/>
          <w:sz w:val="24"/>
          <w:highlight w:val="none"/>
        </w:rPr>
        <w:t>的性能</w:t>
      </w:r>
      <w:r>
        <w:rPr>
          <w:rFonts w:hint="eastAsia"/>
          <w:color w:val="auto"/>
          <w:sz w:val="24"/>
          <w:highlight w:val="none"/>
        </w:rPr>
        <w:t>除</w:t>
      </w:r>
      <w:r>
        <w:rPr>
          <w:color w:val="auto"/>
          <w:sz w:val="24"/>
          <w:highlight w:val="none"/>
        </w:rPr>
        <w:t>应符合表4.</w:t>
      </w:r>
      <w:r>
        <w:rPr>
          <w:rFonts w:hint="eastAsia"/>
          <w:color w:val="auto"/>
          <w:sz w:val="24"/>
          <w:highlight w:val="none"/>
        </w:rPr>
        <w:t>3.5</w:t>
      </w:r>
      <w:r>
        <w:rPr>
          <w:color w:val="auto"/>
          <w:sz w:val="24"/>
          <w:highlight w:val="none"/>
        </w:rPr>
        <w:t>的规定</w:t>
      </w:r>
      <w:r>
        <w:rPr>
          <w:rFonts w:hint="eastAsia"/>
          <w:color w:val="auto"/>
          <w:sz w:val="24"/>
          <w:highlight w:val="none"/>
        </w:rPr>
        <w:t>外，还应符合现行标准《玻化微珠无机保温板建筑保温系统应用技术标准》DBJ</w:t>
      </w:r>
      <w:r>
        <w:rPr>
          <w:rFonts w:hint="eastAsia"/>
          <w:color w:val="auto"/>
          <w:sz w:val="24"/>
          <w:highlight w:val="none"/>
          <w:lang w:val="en-US" w:eastAsia="zh-CN"/>
        </w:rPr>
        <w:t xml:space="preserve"> </w:t>
      </w:r>
      <w:r>
        <w:rPr>
          <w:rFonts w:hint="eastAsia"/>
          <w:color w:val="auto"/>
          <w:sz w:val="24"/>
          <w:highlight w:val="none"/>
        </w:rPr>
        <w:t>50-314</w:t>
      </w:r>
      <w:r>
        <w:rPr>
          <w:color w:val="auto"/>
          <w:sz w:val="24"/>
          <w:highlight w:val="none"/>
        </w:rPr>
        <w:t>的规定。</w:t>
      </w:r>
    </w:p>
    <w:p>
      <w:pPr>
        <w:jc w:val="center"/>
        <w:rPr>
          <w:b/>
          <w:color w:val="auto"/>
          <w:szCs w:val="21"/>
          <w:highlight w:val="none"/>
        </w:rPr>
      </w:pPr>
      <w:r>
        <w:rPr>
          <w:b/>
          <w:color w:val="auto"/>
          <w:highlight w:val="none"/>
        </w:rPr>
        <w:t>表</w:t>
      </w:r>
      <w:r>
        <w:rPr>
          <w:b/>
          <w:color w:val="auto"/>
          <w:szCs w:val="21"/>
          <w:highlight w:val="none"/>
        </w:rPr>
        <w:t>4.</w:t>
      </w:r>
      <w:r>
        <w:rPr>
          <w:rFonts w:hint="eastAsia"/>
          <w:b/>
          <w:color w:val="auto"/>
          <w:szCs w:val="21"/>
          <w:highlight w:val="none"/>
        </w:rPr>
        <w:t>3.5</w:t>
      </w:r>
      <w:r>
        <w:rPr>
          <w:b/>
          <w:color w:val="auto"/>
          <w:szCs w:val="21"/>
          <w:highlight w:val="none"/>
        </w:rPr>
        <w:t>玻化微珠无机保温板性能指标</w:t>
      </w:r>
    </w:p>
    <w:tbl>
      <w:tblPr>
        <w:tblStyle w:val="24"/>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1"/>
        <w:gridCol w:w="352"/>
        <w:gridCol w:w="1867"/>
        <w:gridCol w:w="1178"/>
        <w:gridCol w:w="16"/>
        <w:gridCol w:w="1165"/>
        <w:gridCol w:w="29"/>
        <w:gridCol w:w="1196"/>
        <w:gridCol w:w="1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2122" w:type="pct"/>
            <w:gridSpan w:val="3"/>
            <w:vMerge w:val="restart"/>
            <w:vAlign w:val="center"/>
          </w:tcPr>
          <w:p>
            <w:pPr>
              <w:jc w:val="center"/>
              <w:rPr>
                <w:color w:val="auto"/>
                <w:szCs w:val="21"/>
                <w:highlight w:val="none"/>
              </w:rPr>
            </w:pPr>
            <w:r>
              <w:rPr>
                <w:color w:val="auto"/>
                <w:szCs w:val="21"/>
                <w:highlight w:val="none"/>
              </w:rPr>
              <w:t>项目</w:t>
            </w:r>
          </w:p>
        </w:tc>
        <w:tc>
          <w:tcPr>
            <w:tcW w:w="1975" w:type="pct"/>
            <w:gridSpan w:val="5"/>
            <w:vAlign w:val="center"/>
          </w:tcPr>
          <w:p>
            <w:pPr>
              <w:jc w:val="center"/>
              <w:rPr>
                <w:color w:val="auto"/>
                <w:szCs w:val="21"/>
                <w:highlight w:val="none"/>
              </w:rPr>
            </w:pPr>
            <w:r>
              <w:rPr>
                <w:color w:val="auto"/>
                <w:szCs w:val="21"/>
                <w:highlight w:val="none"/>
              </w:rPr>
              <w:t>性能指标</w:t>
            </w:r>
          </w:p>
        </w:tc>
        <w:tc>
          <w:tcPr>
            <w:tcW w:w="902" w:type="pct"/>
            <w:vMerge w:val="restart"/>
            <w:vAlign w:val="center"/>
          </w:tcPr>
          <w:p>
            <w:pPr>
              <w:jc w:val="center"/>
              <w:rPr>
                <w:color w:val="auto"/>
                <w:szCs w:val="21"/>
                <w:highlight w:val="none"/>
              </w:rPr>
            </w:pPr>
            <w:r>
              <w:rPr>
                <w:color w:val="auto"/>
                <w:szCs w:val="21"/>
                <w:highlight w:val="none"/>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pct"/>
            <w:gridSpan w:val="3"/>
            <w:vMerge w:val="continue"/>
            <w:vAlign w:val="center"/>
          </w:tcPr>
          <w:p>
            <w:pPr>
              <w:jc w:val="center"/>
              <w:rPr>
                <w:color w:val="auto"/>
                <w:szCs w:val="21"/>
                <w:highlight w:val="none"/>
              </w:rPr>
            </w:pPr>
          </w:p>
        </w:tc>
        <w:tc>
          <w:tcPr>
            <w:tcW w:w="649" w:type="pct"/>
            <w:vAlign w:val="center"/>
          </w:tcPr>
          <w:p>
            <w:pPr>
              <w:jc w:val="center"/>
              <w:rPr>
                <w:color w:val="auto"/>
                <w:szCs w:val="21"/>
                <w:highlight w:val="none"/>
              </w:rPr>
            </w:pPr>
            <w:r>
              <w:rPr>
                <w:rFonts w:hint="eastAsia" w:ascii="宋体" w:hAnsi="宋体" w:cs="宋体"/>
                <w:color w:val="auto"/>
                <w:szCs w:val="21"/>
                <w:highlight w:val="none"/>
              </w:rPr>
              <w:t>Ⅰ</w:t>
            </w:r>
            <w:r>
              <w:rPr>
                <w:color w:val="auto"/>
                <w:szCs w:val="21"/>
                <w:highlight w:val="none"/>
              </w:rPr>
              <w:t>型</w:t>
            </w:r>
          </w:p>
        </w:tc>
        <w:tc>
          <w:tcPr>
            <w:tcW w:w="651" w:type="pct"/>
            <w:gridSpan w:val="2"/>
            <w:vAlign w:val="center"/>
          </w:tcPr>
          <w:p>
            <w:pPr>
              <w:jc w:val="center"/>
              <w:rPr>
                <w:color w:val="auto"/>
                <w:szCs w:val="21"/>
                <w:highlight w:val="none"/>
              </w:rPr>
            </w:pPr>
            <w:r>
              <w:rPr>
                <w:rFonts w:hint="eastAsia" w:ascii="宋体" w:hAnsi="宋体" w:cs="宋体"/>
                <w:color w:val="auto"/>
                <w:szCs w:val="21"/>
                <w:highlight w:val="none"/>
              </w:rPr>
              <w:t>Ⅱ</w:t>
            </w:r>
            <w:r>
              <w:rPr>
                <w:color w:val="auto"/>
                <w:szCs w:val="21"/>
                <w:highlight w:val="none"/>
              </w:rPr>
              <w:t>型</w:t>
            </w:r>
          </w:p>
        </w:tc>
        <w:tc>
          <w:tcPr>
            <w:tcW w:w="674" w:type="pct"/>
            <w:gridSpan w:val="2"/>
            <w:vAlign w:val="center"/>
          </w:tcPr>
          <w:p>
            <w:pPr>
              <w:jc w:val="center"/>
              <w:rPr>
                <w:color w:val="auto"/>
                <w:szCs w:val="21"/>
                <w:highlight w:val="none"/>
              </w:rPr>
            </w:pPr>
            <w:r>
              <w:rPr>
                <w:rFonts w:hint="eastAsia" w:ascii="宋体" w:hAnsi="宋体" w:cs="宋体"/>
                <w:color w:val="auto"/>
                <w:szCs w:val="21"/>
                <w:highlight w:val="none"/>
              </w:rPr>
              <w:t>Ⅲ</w:t>
            </w:r>
            <w:r>
              <w:rPr>
                <w:color w:val="auto"/>
                <w:szCs w:val="21"/>
                <w:highlight w:val="none"/>
              </w:rPr>
              <w:t>型</w:t>
            </w:r>
          </w:p>
        </w:tc>
        <w:tc>
          <w:tcPr>
            <w:tcW w:w="902" w:type="pct"/>
            <w:vMerge w:val="continue"/>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pct"/>
            <w:gridSpan w:val="3"/>
            <w:vAlign w:val="center"/>
          </w:tcPr>
          <w:p>
            <w:pPr>
              <w:jc w:val="center"/>
              <w:rPr>
                <w:rFonts w:hint="eastAsia" w:eastAsia="宋体"/>
                <w:color w:val="auto"/>
                <w:szCs w:val="21"/>
                <w:highlight w:val="none"/>
                <w:lang w:eastAsia="zh-CN"/>
              </w:rPr>
            </w:pPr>
            <w:r>
              <w:rPr>
                <w:color w:val="auto"/>
                <w:szCs w:val="21"/>
                <w:highlight w:val="none"/>
              </w:rPr>
              <w:t>表观密度</w:t>
            </w:r>
            <w:r>
              <w:rPr>
                <w:rFonts w:hint="eastAsia"/>
                <w:color w:val="auto"/>
                <w:szCs w:val="21"/>
                <w:highlight w:val="none"/>
                <w:lang w:eastAsia="zh-CN"/>
              </w:rPr>
              <w:t>（</w:t>
            </w:r>
            <w:r>
              <w:rPr>
                <w:color w:val="auto"/>
                <w:szCs w:val="21"/>
                <w:highlight w:val="none"/>
              </w:rPr>
              <w:t>kg/m</w:t>
            </w:r>
            <w:r>
              <w:rPr>
                <w:color w:val="auto"/>
                <w:szCs w:val="21"/>
                <w:highlight w:val="none"/>
                <w:vertAlign w:val="superscript"/>
              </w:rPr>
              <w:t>3</w:t>
            </w:r>
            <w:r>
              <w:rPr>
                <w:rFonts w:hint="eastAsia"/>
                <w:color w:val="auto"/>
                <w:szCs w:val="21"/>
                <w:highlight w:val="none"/>
                <w:lang w:eastAsia="zh-CN"/>
              </w:rPr>
              <w:t>）</w:t>
            </w:r>
          </w:p>
        </w:tc>
        <w:tc>
          <w:tcPr>
            <w:tcW w:w="649" w:type="pct"/>
            <w:vAlign w:val="center"/>
          </w:tcPr>
          <w:p>
            <w:pPr>
              <w:jc w:val="center"/>
              <w:rPr>
                <w:color w:val="auto"/>
                <w:szCs w:val="21"/>
                <w:highlight w:val="none"/>
              </w:rPr>
            </w:pPr>
            <w:r>
              <w:rPr>
                <w:rFonts w:ascii="宋体" w:hAnsi="宋体"/>
                <w:color w:val="auto"/>
                <w:szCs w:val="21"/>
                <w:highlight w:val="none"/>
              </w:rPr>
              <w:t>≤</w:t>
            </w:r>
            <w:r>
              <w:rPr>
                <w:color w:val="auto"/>
                <w:szCs w:val="21"/>
                <w:highlight w:val="none"/>
              </w:rPr>
              <w:t>250</w:t>
            </w:r>
          </w:p>
        </w:tc>
        <w:tc>
          <w:tcPr>
            <w:tcW w:w="651" w:type="pct"/>
            <w:gridSpan w:val="2"/>
            <w:vAlign w:val="center"/>
          </w:tcPr>
          <w:p>
            <w:pPr>
              <w:jc w:val="center"/>
              <w:rPr>
                <w:color w:val="auto"/>
                <w:szCs w:val="21"/>
                <w:highlight w:val="none"/>
              </w:rPr>
            </w:pPr>
            <w:r>
              <w:rPr>
                <w:rFonts w:ascii="宋体" w:hAnsi="宋体"/>
                <w:color w:val="auto"/>
                <w:szCs w:val="21"/>
                <w:highlight w:val="none"/>
              </w:rPr>
              <w:t>≤</w:t>
            </w:r>
            <w:r>
              <w:rPr>
                <w:color w:val="auto"/>
                <w:szCs w:val="21"/>
                <w:highlight w:val="none"/>
              </w:rPr>
              <w:t>300</w:t>
            </w:r>
          </w:p>
        </w:tc>
        <w:tc>
          <w:tcPr>
            <w:tcW w:w="674" w:type="pct"/>
            <w:gridSpan w:val="2"/>
            <w:vAlign w:val="center"/>
          </w:tcPr>
          <w:p>
            <w:pPr>
              <w:jc w:val="center"/>
              <w:rPr>
                <w:color w:val="auto"/>
                <w:szCs w:val="21"/>
                <w:highlight w:val="none"/>
              </w:rPr>
            </w:pPr>
            <w:r>
              <w:rPr>
                <w:rFonts w:ascii="宋体" w:hAnsi="宋体"/>
                <w:color w:val="auto"/>
                <w:szCs w:val="21"/>
                <w:highlight w:val="none"/>
              </w:rPr>
              <w:t>≤</w:t>
            </w:r>
            <w:r>
              <w:rPr>
                <w:color w:val="auto"/>
                <w:szCs w:val="21"/>
                <w:highlight w:val="none"/>
              </w:rPr>
              <w:t>350</w:t>
            </w:r>
          </w:p>
        </w:tc>
        <w:tc>
          <w:tcPr>
            <w:tcW w:w="902" w:type="pct"/>
            <w:vMerge w:val="restart"/>
            <w:vAlign w:val="center"/>
          </w:tcPr>
          <w:p>
            <w:pPr>
              <w:jc w:val="center"/>
              <w:rPr>
                <w:color w:val="auto"/>
                <w:szCs w:val="21"/>
                <w:highlight w:val="none"/>
              </w:rPr>
            </w:pPr>
            <w:r>
              <w:rPr>
                <w:color w:val="auto"/>
                <w:szCs w:val="21"/>
                <w:highlight w:val="none"/>
              </w:rPr>
              <w:t>GB/T 5486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pct"/>
            <w:gridSpan w:val="3"/>
            <w:vAlign w:val="center"/>
          </w:tcPr>
          <w:p>
            <w:pPr>
              <w:jc w:val="center"/>
              <w:rPr>
                <w:rFonts w:hint="eastAsia" w:eastAsia="宋体"/>
                <w:color w:val="auto"/>
                <w:szCs w:val="21"/>
                <w:highlight w:val="none"/>
                <w:lang w:eastAsia="zh-CN"/>
              </w:rPr>
            </w:pPr>
            <w:r>
              <w:rPr>
                <w:color w:val="auto"/>
                <w:szCs w:val="21"/>
                <w:highlight w:val="none"/>
              </w:rPr>
              <w:t>体积吸水率</w:t>
            </w:r>
            <w:r>
              <w:rPr>
                <w:rFonts w:hint="eastAsia"/>
                <w:color w:val="auto"/>
                <w:szCs w:val="21"/>
                <w:highlight w:val="none"/>
                <w:lang w:eastAsia="zh-CN"/>
              </w:rPr>
              <w:t>（</w:t>
            </w:r>
            <w:r>
              <w:rPr>
                <w:color w:val="auto"/>
                <w:szCs w:val="21"/>
                <w:highlight w:val="none"/>
              </w:rPr>
              <w:t>%</w:t>
            </w:r>
            <w:r>
              <w:rPr>
                <w:rFonts w:hint="eastAsia"/>
                <w:color w:val="auto"/>
                <w:szCs w:val="21"/>
                <w:highlight w:val="none"/>
                <w:lang w:eastAsia="zh-CN"/>
              </w:rPr>
              <w:t>）</w:t>
            </w:r>
          </w:p>
        </w:tc>
        <w:tc>
          <w:tcPr>
            <w:tcW w:w="1975" w:type="pct"/>
            <w:gridSpan w:val="5"/>
          </w:tcPr>
          <w:p>
            <w:pPr>
              <w:jc w:val="center"/>
              <w:rPr>
                <w:color w:val="auto"/>
                <w:szCs w:val="21"/>
                <w:highlight w:val="none"/>
              </w:rPr>
            </w:pPr>
            <w:r>
              <w:rPr>
                <w:rFonts w:ascii="宋体" w:hAnsi="宋体"/>
                <w:color w:val="auto"/>
                <w:szCs w:val="21"/>
                <w:highlight w:val="none"/>
              </w:rPr>
              <w:t>≤</w:t>
            </w:r>
            <w:r>
              <w:rPr>
                <w:color w:val="auto"/>
                <w:szCs w:val="21"/>
                <w:highlight w:val="none"/>
              </w:rPr>
              <w:t>10%</w:t>
            </w:r>
          </w:p>
        </w:tc>
        <w:tc>
          <w:tcPr>
            <w:tcW w:w="902" w:type="pct"/>
            <w:vMerge w:val="continue"/>
            <w:vAlign w:val="center"/>
          </w:tcPr>
          <w:p>
            <w:pPr>
              <w:jc w:val="center"/>
              <w:rPr>
                <w:b/>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2122" w:type="pct"/>
            <w:gridSpan w:val="3"/>
            <w:vAlign w:val="center"/>
          </w:tcPr>
          <w:p>
            <w:pPr>
              <w:jc w:val="center"/>
              <w:rPr>
                <w:rFonts w:hint="eastAsia" w:eastAsia="宋体"/>
                <w:color w:val="auto"/>
                <w:szCs w:val="21"/>
                <w:highlight w:val="none"/>
                <w:lang w:eastAsia="zh-CN"/>
              </w:rPr>
            </w:pPr>
            <w:r>
              <w:rPr>
                <w:color w:val="auto"/>
                <w:szCs w:val="21"/>
                <w:highlight w:val="none"/>
              </w:rPr>
              <w:t>抗压强度</w:t>
            </w:r>
            <w:r>
              <w:rPr>
                <w:rFonts w:hint="eastAsia"/>
                <w:color w:val="auto"/>
                <w:szCs w:val="21"/>
                <w:highlight w:val="none"/>
                <w:lang w:eastAsia="zh-CN"/>
              </w:rPr>
              <w:t>（</w:t>
            </w:r>
            <w:r>
              <w:rPr>
                <w:color w:val="auto"/>
                <w:szCs w:val="21"/>
                <w:highlight w:val="none"/>
              </w:rPr>
              <w:t>MPa</w:t>
            </w:r>
            <w:r>
              <w:rPr>
                <w:rFonts w:hint="eastAsia"/>
                <w:color w:val="auto"/>
                <w:szCs w:val="21"/>
                <w:highlight w:val="none"/>
                <w:lang w:eastAsia="zh-CN"/>
              </w:rPr>
              <w:t>）</w:t>
            </w:r>
          </w:p>
        </w:tc>
        <w:tc>
          <w:tcPr>
            <w:tcW w:w="658" w:type="pct"/>
            <w:gridSpan w:val="2"/>
            <w:vAlign w:val="center"/>
          </w:tcPr>
          <w:p>
            <w:pPr>
              <w:jc w:val="center"/>
              <w:rPr>
                <w:color w:val="auto"/>
                <w:szCs w:val="21"/>
                <w:highlight w:val="none"/>
              </w:rPr>
            </w:pPr>
            <w:r>
              <w:rPr>
                <w:rFonts w:ascii="宋体" w:hAnsi="宋体"/>
                <w:color w:val="auto"/>
                <w:szCs w:val="21"/>
                <w:highlight w:val="none"/>
              </w:rPr>
              <w:t>≥</w:t>
            </w:r>
            <w:r>
              <w:rPr>
                <w:color w:val="auto"/>
                <w:szCs w:val="21"/>
                <w:highlight w:val="none"/>
              </w:rPr>
              <w:t>0.50</w:t>
            </w:r>
          </w:p>
        </w:tc>
        <w:tc>
          <w:tcPr>
            <w:tcW w:w="658" w:type="pct"/>
            <w:gridSpan w:val="2"/>
            <w:vAlign w:val="center"/>
          </w:tcPr>
          <w:p>
            <w:pPr>
              <w:jc w:val="center"/>
              <w:rPr>
                <w:color w:val="auto"/>
                <w:szCs w:val="21"/>
                <w:highlight w:val="none"/>
              </w:rPr>
            </w:pPr>
            <w:r>
              <w:rPr>
                <w:rFonts w:ascii="宋体" w:hAnsi="宋体"/>
                <w:color w:val="auto"/>
                <w:szCs w:val="21"/>
                <w:highlight w:val="none"/>
              </w:rPr>
              <w:t>≥</w:t>
            </w:r>
            <w:r>
              <w:rPr>
                <w:color w:val="auto"/>
                <w:szCs w:val="21"/>
                <w:highlight w:val="none"/>
              </w:rPr>
              <w:t>0.70</w:t>
            </w:r>
          </w:p>
        </w:tc>
        <w:tc>
          <w:tcPr>
            <w:tcW w:w="658" w:type="pct"/>
            <w:vAlign w:val="center"/>
          </w:tcPr>
          <w:p>
            <w:pPr>
              <w:jc w:val="center"/>
              <w:rPr>
                <w:color w:val="auto"/>
                <w:szCs w:val="21"/>
                <w:highlight w:val="none"/>
              </w:rPr>
            </w:pPr>
            <w:r>
              <w:rPr>
                <w:rFonts w:ascii="宋体" w:hAnsi="宋体"/>
                <w:color w:val="auto"/>
                <w:szCs w:val="21"/>
                <w:highlight w:val="none"/>
              </w:rPr>
              <w:t>≥</w:t>
            </w:r>
            <w:r>
              <w:rPr>
                <w:color w:val="auto"/>
                <w:szCs w:val="21"/>
                <w:highlight w:val="none"/>
              </w:rPr>
              <w:t>1.20</w:t>
            </w:r>
          </w:p>
        </w:tc>
        <w:tc>
          <w:tcPr>
            <w:tcW w:w="902" w:type="pct"/>
            <w:vMerge w:val="continue"/>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2122" w:type="pct"/>
            <w:gridSpan w:val="3"/>
            <w:vAlign w:val="center"/>
          </w:tcPr>
          <w:p>
            <w:pPr>
              <w:jc w:val="center"/>
              <w:rPr>
                <w:color w:val="auto"/>
                <w:szCs w:val="21"/>
                <w:highlight w:val="none"/>
              </w:rPr>
            </w:pPr>
            <w:r>
              <w:rPr>
                <w:color w:val="auto"/>
                <w:szCs w:val="21"/>
                <w:highlight w:val="none"/>
              </w:rPr>
              <w:t>抗折强度</w:t>
            </w:r>
            <w:r>
              <w:rPr>
                <w:rFonts w:hint="eastAsia"/>
                <w:color w:val="auto"/>
                <w:szCs w:val="21"/>
                <w:highlight w:val="none"/>
                <w:lang w:eastAsia="zh-CN"/>
              </w:rPr>
              <w:t>（</w:t>
            </w:r>
            <w:r>
              <w:rPr>
                <w:color w:val="auto"/>
                <w:szCs w:val="21"/>
                <w:highlight w:val="none"/>
              </w:rPr>
              <w:t>MPa</w:t>
            </w:r>
            <w:r>
              <w:rPr>
                <w:rFonts w:hint="eastAsia"/>
                <w:color w:val="auto"/>
                <w:szCs w:val="21"/>
                <w:highlight w:val="none"/>
                <w:lang w:eastAsia="zh-CN"/>
              </w:rPr>
              <w:t>）</w:t>
            </w:r>
          </w:p>
        </w:tc>
        <w:tc>
          <w:tcPr>
            <w:tcW w:w="1975" w:type="pct"/>
            <w:gridSpan w:val="5"/>
          </w:tcPr>
          <w:p>
            <w:pPr>
              <w:jc w:val="center"/>
              <w:rPr>
                <w:color w:val="auto"/>
                <w:szCs w:val="21"/>
                <w:highlight w:val="none"/>
              </w:rPr>
            </w:pPr>
            <w:r>
              <w:rPr>
                <w:rFonts w:ascii="宋体" w:hAnsi="宋体"/>
                <w:color w:val="auto"/>
                <w:szCs w:val="21"/>
                <w:highlight w:val="none"/>
              </w:rPr>
              <w:t>≥</w:t>
            </w:r>
            <w:r>
              <w:rPr>
                <w:color w:val="auto"/>
                <w:szCs w:val="21"/>
                <w:highlight w:val="none"/>
              </w:rPr>
              <w:t>0.25</w:t>
            </w:r>
          </w:p>
        </w:tc>
        <w:tc>
          <w:tcPr>
            <w:tcW w:w="902" w:type="pct"/>
            <w:vMerge w:val="continue"/>
          </w:tcPr>
          <w:p>
            <w:pP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2122" w:type="pct"/>
            <w:gridSpan w:val="3"/>
            <w:vAlign w:val="center"/>
          </w:tcPr>
          <w:p>
            <w:pPr>
              <w:jc w:val="center"/>
              <w:rPr>
                <w:color w:val="auto"/>
                <w:szCs w:val="21"/>
                <w:highlight w:val="none"/>
              </w:rPr>
            </w:pPr>
            <w:r>
              <w:rPr>
                <w:color w:val="auto"/>
                <w:szCs w:val="21"/>
                <w:highlight w:val="none"/>
              </w:rPr>
              <w:t>抗拉强度</w:t>
            </w:r>
            <w:r>
              <w:rPr>
                <w:rFonts w:hint="eastAsia"/>
                <w:color w:val="auto"/>
                <w:szCs w:val="21"/>
                <w:highlight w:val="none"/>
                <w:lang w:eastAsia="zh-CN"/>
              </w:rPr>
              <w:t>（</w:t>
            </w:r>
            <w:r>
              <w:rPr>
                <w:color w:val="auto"/>
                <w:szCs w:val="21"/>
                <w:highlight w:val="none"/>
              </w:rPr>
              <w:t>MPa</w:t>
            </w:r>
            <w:r>
              <w:rPr>
                <w:rFonts w:hint="eastAsia"/>
                <w:color w:val="auto"/>
                <w:szCs w:val="21"/>
                <w:highlight w:val="none"/>
                <w:lang w:eastAsia="zh-CN"/>
              </w:rPr>
              <w:t>）</w:t>
            </w:r>
          </w:p>
        </w:tc>
        <w:tc>
          <w:tcPr>
            <w:tcW w:w="1975" w:type="pct"/>
            <w:gridSpan w:val="5"/>
            <w:vAlign w:val="center"/>
          </w:tcPr>
          <w:p>
            <w:pPr>
              <w:jc w:val="center"/>
              <w:rPr>
                <w:color w:val="auto"/>
                <w:szCs w:val="21"/>
                <w:highlight w:val="none"/>
              </w:rPr>
            </w:pPr>
            <w:r>
              <w:rPr>
                <w:rFonts w:ascii="宋体" w:hAnsi="宋体"/>
                <w:color w:val="auto"/>
                <w:szCs w:val="21"/>
                <w:highlight w:val="none"/>
              </w:rPr>
              <w:t>≥</w:t>
            </w:r>
            <w:r>
              <w:rPr>
                <w:color w:val="auto"/>
                <w:szCs w:val="21"/>
                <w:highlight w:val="none"/>
              </w:rPr>
              <w:t>0.15</w:t>
            </w:r>
          </w:p>
        </w:tc>
        <w:tc>
          <w:tcPr>
            <w:tcW w:w="902" w:type="pct"/>
            <w:vAlign w:val="center"/>
          </w:tcPr>
          <w:p>
            <w:pPr>
              <w:jc w:val="center"/>
              <w:rPr>
                <w:color w:val="auto"/>
                <w:szCs w:val="21"/>
                <w:highlight w:val="none"/>
              </w:rPr>
            </w:pPr>
            <w:r>
              <w:rPr>
                <w:color w:val="auto"/>
                <w:szCs w:val="21"/>
                <w:highlight w:val="none"/>
              </w:rPr>
              <w:t>JGJ 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899" w:type="pct"/>
            <w:vMerge w:val="restart"/>
            <w:vAlign w:val="center"/>
          </w:tcPr>
          <w:p>
            <w:pPr>
              <w:jc w:val="center"/>
              <w:rPr>
                <w:color w:val="auto"/>
                <w:szCs w:val="21"/>
                <w:highlight w:val="none"/>
              </w:rPr>
            </w:pPr>
            <w:r>
              <w:rPr>
                <w:color w:val="auto"/>
                <w:szCs w:val="21"/>
                <w:highlight w:val="none"/>
              </w:rPr>
              <w:t>抗冻性指标F15</w:t>
            </w:r>
          </w:p>
        </w:tc>
        <w:tc>
          <w:tcPr>
            <w:tcW w:w="1223" w:type="pct"/>
            <w:gridSpan w:val="2"/>
            <w:vAlign w:val="center"/>
          </w:tcPr>
          <w:p>
            <w:pPr>
              <w:jc w:val="center"/>
              <w:rPr>
                <w:color w:val="auto"/>
                <w:szCs w:val="21"/>
                <w:highlight w:val="none"/>
              </w:rPr>
            </w:pPr>
            <w:r>
              <w:rPr>
                <w:color w:val="auto"/>
                <w:szCs w:val="21"/>
                <w:highlight w:val="none"/>
              </w:rPr>
              <w:t>质量损失率</w:t>
            </w:r>
            <w:r>
              <w:rPr>
                <w:rFonts w:hint="eastAsia"/>
                <w:color w:val="auto"/>
                <w:szCs w:val="21"/>
                <w:highlight w:val="none"/>
                <w:lang w:eastAsia="zh-CN"/>
              </w:rPr>
              <w:t>（</w:t>
            </w:r>
            <w:r>
              <w:rPr>
                <w:color w:val="auto"/>
                <w:szCs w:val="21"/>
                <w:highlight w:val="none"/>
              </w:rPr>
              <w:t>%</w:t>
            </w:r>
            <w:r>
              <w:rPr>
                <w:rFonts w:hint="eastAsia"/>
                <w:color w:val="auto"/>
                <w:szCs w:val="21"/>
                <w:highlight w:val="none"/>
                <w:lang w:eastAsia="zh-CN"/>
              </w:rPr>
              <w:t>）</w:t>
            </w:r>
          </w:p>
        </w:tc>
        <w:tc>
          <w:tcPr>
            <w:tcW w:w="1975" w:type="pct"/>
            <w:gridSpan w:val="5"/>
            <w:vAlign w:val="center"/>
          </w:tcPr>
          <w:p>
            <w:pPr>
              <w:jc w:val="center"/>
              <w:rPr>
                <w:color w:val="auto"/>
                <w:szCs w:val="21"/>
                <w:highlight w:val="none"/>
              </w:rPr>
            </w:pPr>
            <w:r>
              <w:rPr>
                <w:rFonts w:ascii="宋体" w:hAnsi="宋体"/>
                <w:color w:val="auto"/>
                <w:szCs w:val="21"/>
                <w:highlight w:val="none"/>
              </w:rPr>
              <w:t>≤</w:t>
            </w:r>
            <w:r>
              <w:rPr>
                <w:color w:val="auto"/>
                <w:szCs w:val="21"/>
                <w:highlight w:val="none"/>
              </w:rPr>
              <w:t>5.0</w:t>
            </w:r>
          </w:p>
        </w:tc>
        <w:tc>
          <w:tcPr>
            <w:tcW w:w="902" w:type="pct"/>
            <w:vMerge w:val="restart"/>
            <w:vAlign w:val="center"/>
          </w:tcPr>
          <w:p>
            <w:pPr>
              <w:jc w:val="center"/>
              <w:rPr>
                <w:color w:val="auto"/>
                <w:szCs w:val="21"/>
                <w:highlight w:val="none"/>
              </w:rPr>
            </w:pPr>
            <w:r>
              <w:rPr>
                <w:color w:val="auto"/>
                <w:szCs w:val="21"/>
                <w:highlight w:val="none"/>
              </w:rPr>
              <w:t>JG/T 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899" w:type="pct"/>
            <w:vMerge w:val="continue"/>
            <w:vAlign w:val="center"/>
          </w:tcPr>
          <w:p>
            <w:pPr>
              <w:jc w:val="center"/>
              <w:rPr>
                <w:color w:val="auto"/>
                <w:szCs w:val="21"/>
                <w:highlight w:val="none"/>
              </w:rPr>
            </w:pPr>
          </w:p>
        </w:tc>
        <w:tc>
          <w:tcPr>
            <w:tcW w:w="1223" w:type="pct"/>
            <w:gridSpan w:val="2"/>
            <w:vAlign w:val="center"/>
          </w:tcPr>
          <w:p>
            <w:pPr>
              <w:jc w:val="center"/>
              <w:rPr>
                <w:color w:val="auto"/>
                <w:szCs w:val="21"/>
                <w:highlight w:val="none"/>
              </w:rPr>
            </w:pPr>
            <w:r>
              <w:rPr>
                <w:color w:val="auto"/>
                <w:szCs w:val="21"/>
                <w:highlight w:val="none"/>
              </w:rPr>
              <w:t>强度损失率</w:t>
            </w:r>
            <w:r>
              <w:rPr>
                <w:rFonts w:hint="eastAsia"/>
                <w:color w:val="auto"/>
                <w:szCs w:val="21"/>
                <w:highlight w:val="none"/>
                <w:lang w:eastAsia="zh-CN"/>
              </w:rPr>
              <w:t>（</w:t>
            </w:r>
            <w:r>
              <w:rPr>
                <w:color w:val="auto"/>
                <w:szCs w:val="21"/>
                <w:highlight w:val="none"/>
              </w:rPr>
              <w:t>%</w:t>
            </w:r>
            <w:r>
              <w:rPr>
                <w:rFonts w:hint="eastAsia"/>
                <w:color w:val="auto"/>
                <w:szCs w:val="21"/>
                <w:highlight w:val="none"/>
                <w:lang w:eastAsia="zh-CN"/>
              </w:rPr>
              <w:t>）</w:t>
            </w:r>
          </w:p>
        </w:tc>
        <w:tc>
          <w:tcPr>
            <w:tcW w:w="1975" w:type="pct"/>
            <w:gridSpan w:val="5"/>
            <w:vAlign w:val="center"/>
          </w:tcPr>
          <w:p>
            <w:pPr>
              <w:jc w:val="center"/>
              <w:rPr>
                <w:color w:val="auto"/>
                <w:szCs w:val="21"/>
                <w:highlight w:val="none"/>
              </w:rPr>
            </w:pPr>
            <w:r>
              <w:rPr>
                <w:rFonts w:ascii="宋体" w:hAnsi="宋体"/>
                <w:color w:val="auto"/>
                <w:szCs w:val="21"/>
                <w:highlight w:val="none"/>
              </w:rPr>
              <w:t>≤</w:t>
            </w:r>
            <w:r>
              <w:rPr>
                <w:color w:val="auto"/>
                <w:szCs w:val="21"/>
                <w:highlight w:val="none"/>
              </w:rPr>
              <w:t>20</w:t>
            </w:r>
          </w:p>
        </w:tc>
        <w:tc>
          <w:tcPr>
            <w:tcW w:w="902" w:type="pct"/>
            <w:vMerge w:val="continue"/>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pct"/>
            <w:gridSpan w:val="3"/>
            <w:vAlign w:val="center"/>
          </w:tcPr>
          <w:p>
            <w:pPr>
              <w:tabs>
                <w:tab w:val="left" w:pos="6946"/>
              </w:tabs>
              <w:jc w:val="center"/>
              <w:rPr>
                <w:color w:val="auto"/>
                <w:szCs w:val="21"/>
                <w:highlight w:val="none"/>
              </w:rPr>
            </w:pPr>
            <w:r>
              <w:rPr>
                <w:color w:val="auto"/>
                <w:szCs w:val="21"/>
                <w:highlight w:val="none"/>
              </w:rPr>
              <w:t>导热系数</w:t>
            </w:r>
          </w:p>
          <w:p>
            <w:pPr>
              <w:jc w:val="center"/>
              <w:rPr>
                <w:rFonts w:hint="default" w:eastAsia="宋体"/>
                <w:color w:val="auto"/>
                <w:szCs w:val="21"/>
                <w:highlight w:val="none"/>
                <w:lang w:val="en-US" w:eastAsia="zh-CN"/>
              </w:rPr>
            </w:pPr>
            <w:r>
              <w:rPr>
                <w:color w:val="auto"/>
                <w:szCs w:val="21"/>
                <w:highlight w:val="none"/>
              </w:rPr>
              <w:t>（平均温度25</w:t>
            </w:r>
            <w:r>
              <w:rPr>
                <w:rFonts w:hint="eastAsia" w:ascii="宋体" w:hAnsi="宋体" w:cs="宋体"/>
                <w:color w:val="auto"/>
                <w:szCs w:val="21"/>
                <w:highlight w:val="none"/>
              </w:rPr>
              <w:t>℃</w:t>
            </w:r>
            <w:r>
              <w:rPr>
                <w:color w:val="auto"/>
                <w:szCs w:val="21"/>
                <w:highlight w:val="none"/>
              </w:rPr>
              <w:t>±2</w:t>
            </w:r>
            <w:r>
              <w:rPr>
                <w:rFonts w:hint="eastAsia" w:ascii="宋体" w:hAnsi="宋体" w:cs="宋体"/>
                <w:color w:val="auto"/>
                <w:szCs w:val="21"/>
                <w:highlight w:val="none"/>
              </w:rPr>
              <w:t>℃</w:t>
            </w:r>
            <w:r>
              <w:rPr>
                <w:color w:val="auto"/>
                <w:szCs w:val="21"/>
                <w:highlight w:val="none"/>
              </w:rPr>
              <w:t>）</w:t>
            </w:r>
            <w:r>
              <w:rPr>
                <w:rFonts w:hint="eastAsia"/>
                <w:color w:val="auto"/>
                <w:szCs w:val="21"/>
                <w:highlight w:val="none"/>
                <w:lang w:val="en-US" w:eastAsia="zh-CN"/>
              </w:rPr>
              <w:t>[</w:t>
            </w:r>
            <w:r>
              <w:rPr>
                <w:color w:val="auto"/>
                <w:szCs w:val="21"/>
                <w:highlight w:val="none"/>
              </w:rPr>
              <w:t>W/（m·K）</w:t>
            </w:r>
            <w:r>
              <w:rPr>
                <w:rFonts w:hint="eastAsia"/>
                <w:color w:val="auto"/>
                <w:szCs w:val="21"/>
                <w:highlight w:val="none"/>
                <w:lang w:val="en-US" w:eastAsia="zh-CN"/>
              </w:rPr>
              <w:t>]</w:t>
            </w:r>
          </w:p>
        </w:tc>
        <w:tc>
          <w:tcPr>
            <w:tcW w:w="649" w:type="pct"/>
            <w:vAlign w:val="center"/>
          </w:tcPr>
          <w:p>
            <w:pPr>
              <w:jc w:val="center"/>
              <w:rPr>
                <w:color w:val="auto"/>
                <w:szCs w:val="21"/>
                <w:highlight w:val="none"/>
              </w:rPr>
            </w:pPr>
            <w:r>
              <w:rPr>
                <w:rFonts w:ascii="宋体" w:hAnsi="宋体"/>
                <w:color w:val="auto"/>
                <w:szCs w:val="21"/>
                <w:highlight w:val="none"/>
              </w:rPr>
              <w:t>≤</w:t>
            </w:r>
            <w:r>
              <w:rPr>
                <w:color w:val="auto"/>
                <w:szCs w:val="21"/>
                <w:highlight w:val="none"/>
              </w:rPr>
              <w:t>0.072</w:t>
            </w:r>
          </w:p>
        </w:tc>
        <w:tc>
          <w:tcPr>
            <w:tcW w:w="651" w:type="pct"/>
            <w:gridSpan w:val="2"/>
            <w:vAlign w:val="center"/>
          </w:tcPr>
          <w:p>
            <w:pPr>
              <w:jc w:val="center"/>
              <w:rPr>
                <w:color w:val="auto"/>
                <w:szCs w:val="21"/>
                <w:highlight w:val="none"/>
              </w:rPr>
            </w:pPr>
            <w:r>
              <w:rPr>
                <w:rFonts w:ascii="宋体" w:hAnsi="宋体"/>
                <w:color w:val="auto"/>
                <w:szCs w:val="21"/>
                <w:highlight w:val="none"/>
              </w:rPr>
              <w:t>≤</w:t>
            </w:r>
            <w:r>
              <w:rPr>
                <w:color w:val="auto"/>
                <w:szCs w:val="21"/>
                <w:highlight w:val="none"/>
              </w:rPr>
              <w:t>0.078</w:t>
            </w:r>
          </w:p>
        </w:tc>
        <w:tc>
          <w:tcPr>
            <w:tcW w:w="674" w:type="pct"/>
            <w:gridSpan w:val="2"/>
            <w:vAlign w:val="center"/>
          </w:tcPr>
          <w:p>
            <w:pPr>
              <w:jc w:val="center"/>
              <w:rPr>
                <w:color w:val="auto"/>
                <w:szCs w:val="21"/>
                <w:highlight w:val="none"/>
              </w:rPr>
            </w:pPr>
            <w:r>
              <w:rPr>
                <w:rFonts w:ascii="宋体" w:hAnsi="宋体"/>
                <w:color w:val="auto"/>
                <w:szCs w:val="21"/>
                <w:highlight w:val="none"/>
              </w:rPr>
              <w:t>≤</w:t>
            </w:r>
            <w:r>
              <w:rPr>
                <w:color w:val="auto"/>
                <w:szCs w:val="21"/>
                <w:highlight w:val="none"/>
              </w:rPr>
              <w:t>0.087</w:t>
            </w:r>
          </w:p>
        </w:tc>
        <w:tc>
          <w:tcPr>
            <w:tcW w:w="902" w:type="pct"/>
            <w:vAlign w:val="center"/>
          </w:tcPr>
          <w:p>
            <w:pPr>
              <w:jc w:val="center"/>
              <w:rPr>
                <w:color w:val="auto"/>
                <w:szCs w:val="21"/>
                <w:highlight w:val="none"/>
              </w:rPr>
            </w:pPr>
            <w:r>
              <w:rPr>
                <w:color w:val="auto"/>
                <w:szCs w:val="21"/>
                <w:highlight w:val="none"/>
              </w:rPr>
              <w:t xml:space="preserve">GB/T 10294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2" w:type="pct"/>
            <w:gridSpan w:val="3"/>
            <w:vAlign w:val="center"/>
          </w:tcPr>
          <w:p>
            <w:pPr>
              <w:jc w:val="center"/>
              <w:rPr>
                <w:color w:val="auto"/>
                <w:szCs w:val="21"/>
                <w:highlight w:val="none"/>
              </w:rPr>
            </w:pPr>
            <w:r>
              <w:rPr>
                <w:color w:val="auto"/>
                <w:szCs w:val="21"/>
                <w:highlight w:val="none"/>
              </w:rPr>
              <w:t>线性收缩率</w:t>
            </w:r>
            <w:r>
              <w:rPr>
                <w:rFonts w:hint="eastAsia"/>
                <w:color w:val="auto"/>
                <w:szCs w:val="21"/>
                <w:highlight w:val="none"/>
                <w:lang w:eastAsia="zh-CN"/>
              </w:rPr>
              <w:t>（</w:t>
            </w:r>
            <w:r>
              <w:rPr>
                <w:color w:val="auto"/>
                <w:szCs w:val="21"/>
                <w:highlight w:val="none"/>
              </w:rPr>
              <w:t>%</w:t>
            </w:r>
            <w:r>
              <w:rPr>
                <w:rFonts w:hint="eastAsia"/>
                <w:color w:val="auto"/>
                <w:szCs w:val="21"/>
                <w:highlight w:val="none"/>
                <w:lang w:eastAsia="zh-CN"/>
              </w:rPr>
              <w:t>）</w:t>
            </w:r>
          </w:p>
        </w:tc>
        <w:tc>
          <w:tcPr>
            <w:tcW w:w="1975" w:type="pct"/>
            <w:gridSpan w:val="5"/>
            <w:vAlign w:val="center"/>
          </w:tcPr>
          <w:p>
            <w:pPr>
              <w:jc w:val="center"/>
              <w:rPr>
                <w:color w:val="auto"/>
                <w:szCs w:val="21"/>
                <w:highlight w:val="none"/>
              </w:rPr>
            </w:pPr>
            <w:r>
              <w:rPr>
                <w:rFonts w:ascii="宋体" w:hAnsi="宋体"/>
                <w:color w:val="auto"/>
                <w:szCs w:val="21"/>
                <w:highlight w:val="none"/>
              </w:rPr>
              <w:t>≤</w:t>
            </w:r>
            <w:r>
              <w:rPr>
                <w:color w:val="auto"/>
                <w:szCs w:val="21"/>
                <w:highlight w:val="none"/>
              </w:rPr>
              <w:t>0.3</w:t>
            </w:r>
          </w:p>
        </w:tc>
        <w:tc>
          <w:tcPr>
            <w:tcW w:w="902" w:type="pct"/>
            <w:vAlign w:val="center"/>
          </w:tcPr>
          <w:p>
            <w:pPr>
              <w:jc w:val="center"/>
              <w:rPr>
                <w:color w:val="auto"/>
                <w:szCs w:val="21"/>
                <w:highlight w:val="none"/>
              </w:rPr>
            </w:pPr>
            <w:r>
              <w:rPr>
                <w:color w:val="auto"/>
                <w:szCs w:val="21"/>
                <w:highlight w:val="none"/>
              </w:rPr>
              <w:t>JG/T 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2122" w:type="pct"/>
            <w:gridSpan w:val="3"/>
            <w:vAlign w:val="center"/>
          </w:tcPr>
          <w:p>
            <w:pPr>
              <w:jc w:val="center"/>
              <w:rPr>
                <w:color w:val="auto"/>
                <w:szCs w:val="21"/>
                <w:highlight w:val="none"/>
              </w:rPr>
            </w:pPr>
            <w:r>
              <w:rPr>
                <w:color w:val="auto"/>
                <w:szCs w:val="21"/>
                <w:highlight w:val="none"/>
              </w:rPr>
              <w:t>软化系数</w:t>
            </w:r>
          </w:p>
        </w:tc>
        <w:tc>
          <w:tcPr>
            <w:tcW w:w="1975" w:type="pct"/>
            <w:gridSpan w:val="5"/>
            <w:vAlign w:val="center"/>
          </w:tcPr>
          <w:p>
            <w:pPr>
              <w:jc w:val="center"/>
              <w:rPr>
                <w:color w:val="auto"/>
                <w:szCs w:val="21"/>
                <w:highlight w:val="none"/>
              </w:rPr>
            </w:pPr>
            <w:r>
              <w:rPr>
                <w:rFonts w:ascii="宋体" w:hAnsi="宋体"/>
                <w:color w:val="auto"/>
                <w:szCs w:val="21"/>
                <w:highlight w:val="none"/>
              </w:rPr>
              <w:t>≥</w:t>
            </w:r>
            <w:r>
              <w:rPr>
                <w:color w:val="auto"/>
                <w:szCs w:val="21"/>
                <w:highlight w:val="none"/>
              </w:rPr>
              <w:t>0.80</w:t>
            </w:r>
          </w:p>
        </w:tc>
        <w:tc>
          <w:tcPr>
            <w:tcW w:w="902" w:type="pct"/>
            <w:vAlign w:val="center"/>
          </w:tcPr>
          <w:p>
            <w:pPr>
              <w:jc w:val="center"/>
              <w:rPr>
                <w:color w:val="auto"/>
                <w:szCs w:val="21"/>
                <w:highlight w:val="none"/>
              </w:rPr>
            </w:pPr>
            <w:r>
              <w:rPr>
                <w:color w:val="auto"/>
                <w:szCs w:val="21"/>
                <w:highlight w:val="none"/>
              </w:rPr>
              <w:t>JGJ 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1093" w:type="pct"/>
            <w:gridSpan w:val="2"/>
            <w:vMerge w:val="restart"/>
            <w:vAlign w:val="center"/>
          </w:tcPr>
          <w:p>
            <w:pPr>
              <w:jc w:val="center"/>
              <w:rPr>
                <w:color w:val="auto"/>
                <w:szCs w:val="21"/>
                <w:highlight w:val="none"/>
              </w:rPr>
            </w:pPr>
            <w:r>
              <w:rPr>
                <w:color w:val="auto"/>
                <w:szCs w:val="21"/>
                <w:highlight w:val="none"/>
              </w:rPr>
              <w:t>放射性</w:t>
            </w:r>
          </w:p>
        </w:tc>
        <w:tc>
          <w:tcPr>
            <w:tcW w:w="1028" w:type="pct"/>
            <w:vAlign w:val="center"/>
          </w:tcPr>
          <w:p>
            <w:pPr>
              <w:jc w:val="center"/>
              <w:rPr>
                <w:color w:val="auto"/>
                <w:szCs w:val="21"/>
                <w:highlight w:val="none"/>
              </w:rPr>
            </w:pPr>
            <w:r>
              <w:rPr>
                <w:color w:val="auto"/>
                <w:szCs w:val="21"/>
                <w:highlight w:val="none"/>
              </w:rPr>
              <w:t>内照射指数 I</w:t>
            </w:r>
            <w:r>
              <w:rPr>
                <w:i/>
                <w:color w:val="auto"/>
                <w:szCs w:val="21"/>
                <w:highlight w:val="none"/>
                <w:vertAlign w:val="subscript"/>
              </w:rPr>
              <w:t>Ra</w:t>
            </w:r>
          </w:p>
        </w:tc>
        <w:tc>
          <w:tcPr>
            <w:tcW w:w="1975" w:type="pct"/>
            <w:gridSpan w:val="5"/>
            <w:vAlign w:val="center"/>
          </w:tcPr>
          <w:p>
            <w:pPr>
              <w:jc w:val="center"/>
              <w:rPr>
                <w:color w:val="auto"/>
                <w:szCs w:val="21"/>
                <w:highlight w:val="none"/>
              </w:rPr>
            </w:pPr>
            <w:r>
              <w:rPr>
                <w:rFonts w:ascii="宋体" w:hAnsi="宋体"/>
                <w:color w:val="auto"/>
                <w:szCs w:val="21"/>
                <w:highlight w:val="none"/>
              </w:rPr>
              <w:t>≤</w:t>
            </w:r>
            <w:r>
              <w:rPr>
                <w:color w:val="auto"/>
                <w:szCs w:val="21"/>
                <w:highlight w:val="none"/>
              </w:rPr>
              <w:t>1.0</w:t>
            </w:r>
          </w:p>
        </w:tc>
        <w:tc>
          <w:tcPr>
            <w:tcW w:w="902" w:type="pct"/>
            <w:vMerge w:val="restart"/>
            <w:vAlign w:val="center"/>
          </w:tcPr>
          <w:p>
            <w:pPr>
              <w:jc w:val="center"/>
              <w:rPr>
                <w:color w:val="auto"/>
                <w:szCs w:val="21"/>
                <w:highlight w:val="none"/>
              </w:rPr>
            </w:pPr>
            <w:r>
              <w:rPr>
                <w:color w:val="auto"/>
                <w:szCs w:val="21"/>
                <w:highlight w:val="none"/>
              </w:rPr>
              <w:t xml:space="preserve">GB 6566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1093" w:type="pct"/>
            <w:gridSpan w:val="2"/>
            <w:vMerge w:val="continue"/>
            <w:vAlign w:val="center"/>
          </w:tcPr>
          <w:p>
            <w:pPr>
              <w:jc w:val="center"/>
              <w:rPr>
                <w:color w:val="auto"/>
                <w:szCs w:val="21"/>
                <w:highlight w:val="none"/>
              </w:rPr>
            </w:pPr>
          </w:p>
        </w:tc>
        <w:tc>
          <w:tcPr>
            <w:tcW w:w="1028" w:type="pct"/>
            <w:vAlign w:val="center"/>
          </w:tcPr>
          <w:p>
            <w:pPr>
              <w:jc w:val="center"/>
              <w:rPr>
                <w:color w:val="auto"/>
                <w:szCs w:val="21"/>
                <w:highlight w:val="none"/>
              </w:rPr>
            </w:pPr>
            <w:r>
              <w:rPr>
                <w:color w:val="auto"/>
                <w:szCs w:val="21"/>
                <w:highlight w:val="none"/>
              </w:rPr>
              <w:t>外照射指数 I</w:t>
            </w:r>
            <w:r>
              <w:rPr>
                <w:i/>
                <w:color w:val="auto"/>
                <w:szCs w:val="21"/>
                <w:highlight w:val="none"/>
                <w:vertAlign w:val="subscript"/>
              </w:rPr>
              <w:t>γ</w:t>
            </w:r>
          </w:p>
        </w:tc>
        <w:tc>
          <w:tcPr>
            <w:tcW w:w="1975" w:type="pct"/>
            <w:gridSpan w:val="5"/>
            <w:vAlign w:val="center"/>
          </w:tcPr>
          <w:p>
            <w:pPr>
              <w:jc w:val="center"/>
              <w:rPr>
                <w:color w:val="auto"/>
                <w:szCs w:val="21"/>
                <w:highlight w:val="none"/>
              </w:rPr>
            </w:pPr>
            <w:r>
              <w:rPr>
                <w:rFonts w:ascii="宋体" w:hAnsi="宋体"/>
                <w:color w:val="auto"/>
                <w:szCs w:val="21"/>
                <w:highlight w:val="none"/>
              </w:rPr>
              <w:t>≤</w:t>
            </w:r>
            <w:r>
              <w:rPr>
                <w:color w:val="auto"/>
                <w:szCs w:val="21"/>
                <w:highlight w:val="none"/>
              </w:rPr>
              <w:t>1.3</w:t>
            </w:r>
          </w:p>
        </w:tc>
        <w:tc>
          <w:tcPr>
            <w:tcW w:w="902" w:type="pct"/>
            <w:vMerge w:val="continue"/>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122" w:type="pct"/>
            <w:gridSpan w:val="3"/>
            <w:vAlign w:val="center"/>
          </w:tcPr>
          <w:p>
            <w:pPr>
              <w:jc w:val="center"/>
              <w:rPr>
                <w:color w:val="auto"/>
                <w:szCs w:val="21"/>
                <w:highlight w:val="none"/>
              </w:rPr>
            </w:pPr>
            <w:r>
              <w:rPr>
                <w:color w:val="auto"/>
                <w:szCs w:val="21"/>
                <w:highlight w:val="none"/>
              </w:rPr>
              <w:t>燃烧性能等级</w:t>
            </w:r>
          </w:p>
        </w:tc>
        <w:tc>
          <w:tcPr>
            <w:tcW w:w="1975" w:type="pct"/>
            <w:gridSpan w:val="5"/>
            <w:vAlign w:val="center"/>
          </w:tcPr>
          <w:p>
            <w:pPr>
              <w:tabs>
                <w:tab w:val="left" w:pos="6946"/>
              </w:tabs>
              <w:jc w:val="center"/>
              <w:rPr>
                <w:color w:val="auto"/>
                <w:szCs w:val="21"/>
                <w:highlight w:val="none"/>
              </w:rPr>
            </w:pPr>
            <w:r>
              <w:rPr>
                <w:color w:val="auto"/>
                <w:szCs w:val="21"/>
                <w:highlight w:val="none"/>
              </w:rPr>
              <w:t>A（</w:t>
            </w:r>
            <w:r>
              <w:rPr>
                <w:rFonts w:hint="eastAsia"/>
                <w:color w:val="auto"/>
                <w:szCs w:val="21"/>
                <w:highlight w:val="none"/>
              </w:rPr>
              <w:t>A</w:t>
            </w:r>
            <w:r>
              <w:rPr>
                <w:color w:val="auto"/>
                <w:szCs w:val="21"/>
                <w:highlight w:val="none"/>
              </w:rPr>
              <w:t>1）级</w:t>
            </w:r>
          </w:p>
        </w:tc>
        <w:tc>
          <w:tcPr>
            <w:tcW w:w="902" w:type="pct"/>
            <w:vAlign w:val="center"/>
          </w:tcPr>
          <w:p>
            <w:pPr>
              <w:tabs>
                <w:tab w:val="left" w:pos="6946"/>
              </w:tabs>
              <w:jc w:val="center"/>
              <w:rPr>
                <w:color w:val="auto"/>
                <w:szCs w:val="21"/>
                <w:highlight w:val="none"/>
              </w:rPr>
            </w:pPr>
            <w:r>
              <w:rPr>
                <w:color w:val="auto"/>
                <w:szCs w:val="21"/>
                <w:highlight w:val="none"/>
              </w:rPr>
              <w:t>GB 8624</w:t>
            </w:r>
          </w:p>
        </w:tc>
      </w:tr>
    </w:tbl>
    <w:p>
      <w:pPr>
        <w:jc w:val="center"/>
        <w:rPr>
          <w:color w:val="auto"/>
          <w:sz w:val="18"/>
          <w:szCs w:val="18"/>
          <w:highlight w:val="none"/>
        </w:rPr>
      </w:pPr>
    </w:p>
    <w:p>
      <w:pPr>
        <w:spacing w:line="360" w:lineRule="auto"/>
        <w:jc w:val="left"/>
        <w:outlineLvl w:val="2"/>
        <w:rPr>
          <w:color w:val="auto"/>
          <w:sz w:val="24"/>
          <w:highlight w:val="none"/>
        </w:rPr>
      </w:pPr>
      <w:r>
        <w:rPr>
          <w:rFonts w:hint="eastAsia"/>
          <w:b/>
          <w:color w:val="auto"/>
          <w:sz w:val="24"/>
          <w:highlight w:val="none"/>
        </w:rPr>
        <w:t>4.3.6</w:t>
      </w:r>
      <w:r>
        <w:rPr>
          <w:rFonts w:hint="eastAsia"/>
          <w:color w:val="auto"/>
          <w:sz w:val="24"/>
          <w:highlight w:val="none"/>
        </w:rPr>
        <w:t xml:space="preserve"> 内保温复合板用</w:t>
      </w:r>
      <w:r>
        <w:rPr>
          <w:color w:val="auto"/>
          <w:sz w:val="24"/>
          <w:highlight w:val="none"/>
        </w:rPr>
        <w:t>不燃型聚苯颗粒保温板的性能除应符合表</w:t>
      </w:r>
      <w:r>
        <w:rPr>
          <w:rFonts w:hint="eastAsia"/>
          <w:color w:val="auto"/>
          <w:sz w:val="24"/>
          <w:highlight w:val="none"/>
        </w:rPr>
        <w:t>4.3.6</w:t>
      </w:r>
      <w:r>
        <w:rPr>
          <w:color w:val="auto"/>
          <w:sz w:val="24"/>
          <w:highlight w:val="none"/>
        </w:rPr>
        <w:t>-1和</w:t>
      </w:r>
      <w:r>
        <w:rPr>
          <w:rFonts w:hint="eastAsia"/>
          <w:color w:val="auto"/>
          <w:sz w:val="24"/>
          <w:highlight w:val="none"/>
        </w:rPr>
        <w:t>4.3.6</w:t>
      </w:r>
      <w:r>
        <w:rPr>
          <w:color w:val="auto"/>
          <w:sz w:val="24"/>
          <w:highlight w:val="none"/>
        </w:rPr>
        <w:t>-2的规定外，还应符合</w:t>
      </w:r>
      <w:r>
        <w:rPr>
          <w:rFonts w:hint="eastAsia"/>
          <w:color w:val="auto"/>
          <w:sz w:val="24"/>
          <w:highlight w:val="none"/>
        </w:rPr>
        <w:t>现行行业标准</w:t>
      </w:r>
      <w:r>
        <w:rPr>
          <w:color w:val="auto"/>
          <w:sz w:val="24"/>
          <w:highlight w:val="none"/>
        </w:rPr>
        <w:t>《热固复合聚苯乙烯泡沫保温板</w:t>
      </w:r>
      <w:r>
        <w:rPr>
          <w:rFonts w:hint="eastAsia"/>
          <w:color w:val="auto"/>
          <w:sz w:val="24"/>
          <w:highlight w:val="none"/>
        </w:rPr>
        <w:t>保温板</w:t>
      </w:r>
      <w:r>
        <w:rPr>
          <w:color w:val="auto"/>
          <w:sz w:val="24"/>
          <w:highlight w:val="none"/>
        </w:rPr>
        <w:t>》JG/T 536的规定。</w:t>
      </w:r>
    </w:p>
    <w:p>
      <w:pPr>
        <w:widowControl/>
        <w:spacing w:line="560" w:lineRule="exact"/>
        <w:jc w:val="center"/>
        <w:rPr>
          <w:b/>
          <w:color w:val="auto"/>
          <w:szCs w:val="21"/>
          <w:highlight w:val="none"/>
          <w:lang w:bidi="en-US"/>
        </w:rPr>
      </w:pPr>
      <w:r>
        <w:rPr>
          <w:b/>
          <w:color w:val="auto"/>
          <w:szCs w:val="21"/>
          <w:highlight w:val="none"/>
          <w:lang w:bidi="en-US"/>
        </w:rPr>
        <w:t>表4.</w:t>
      </w:r>
      <w:r>
        <w:rPr>
          <w:rFonts w:hint="eastAsia"/>
          <w:b/>
          <w:color w:val="auto"/>
          <w:szCs w:val="21"/>
          <w:highlight w:val="none"/>
          <w:lang w:bidi="en-US"/>
        </w:rPr>
        <w:t>3.6</w:t>
      </w:r>
      <w:r>
        <w:rPr>
          <w:b/>
          <w:color w:val="auto"/>
          <w:szCs w:val="21"/>
          <w:highlight w:val="none"/>
          <w:lang w:bidi="en-US"/>
        </w:rPr>
        <w:t>-1不燃型聚苯颗粒保温板的性能指标</w:t>
      </w:r>
    </w:p>
    <w:tbl>
      <w:tblPr>
        <w:tblStyle w:val="24"/>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82"/>
        <w:gridCol w:w="1497"/>
        <w:gridCol w:w="1455"/>
        <w:gridCol w:w="2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2084" w:type="pct"/>
            <w:vAlign w:val="center"/>
          </w:tcPr>
          <w:p>
            <w:pPr>
              <w:jc w:val="center"/>
              <w:rPr>
                <w:color w:val="auto"/>
                <w:szCs w:val="21"/>
                <w:highlight w:val="none"/>
              </w:rPr>
            </w:pPr>
            <w:r>
              <w:rPr>
                <w:color w:val="auto"/>
                <w:szCs w:val="21"/>
                <w:highlight w:val="none"/>
              </w:rPr>
              <w:t>项目</w:t>
            </w:r>
          </w:p>
        </w:tc>
        <w:tc>
          <w:tcPr>
            <w:tcW w:w="1627" w:type="pct"/>
            <w:gridSpan w:val="2"/>
            <w:vAlign w:val="center"/>
          </w:tcPr>
          <w:p>
            <w:pPr>
              <w:jc w:val="center"/>
              <w:rPr>
                <w:color w:val="auto"/>
                <w:szCs w:val="21"/>
                <w:highlight w:val="none"/>
              </w:rPr>
            </w:pPr>
            <w:r>
              <w:rPr>
                <w:color w:val="auto"/>
                <w:szCs w:val="21"/>
                <w:highlight w:val="none"/>
              </w:rPr>
              <w:t>性能指标</w:t>
            </w:r>
          </w:p>
        </w:tc>
        <w:tc>
          <w:tcPr>
            <w:tcW w:w="1288" w:type="pct"/>
            <w:vAlign w:val="center"/>
          </w:tcPr>
          <w:p>
            <w:pPr>
              <w:jc w:val="center"/>
              <w:rPr>
                <w:color w:val="auto"/>
                <w:szCs w:val="21"/>
                <w:highlight w:val="none"/>
              </w:rPr>
            </w:pPr>
            <w:r>
              <w:rPr>
                <w:color w:val="auto"/>
                <w:szCs w:val="21"/>
                <w:highlight w:val="none"/>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2084" w:type="pct"/>
            <w:vAlign w:val="center"/>
          </w:tcPr>
          <w:p>
            <w:pPr>
              <w:jc w:val="center"/>
              <w:rPr>
                <w:rFonts w:hint="eastAsia" w:eastAsia="宋体"/>
                <w:color w:val="auto"/>
                <w:szCs w:val="21"/>
                <w:highlight w:val="none"/>
                <w:lang w:eastAsia="zh-CN"/>
              </w:rPr>
            </w:pPr>
            <w:r>
              <w:rPr>
                <w:color w:val="auto"/>
                <w:szCs w:val="21"/>
                <w:highlight w:val="none"/>
              </w:rPr>
              <w:t>干表观密度</w:t>
            </w:r>
            <w:r>
              <w:rPr>
                <w:rFonts w:hint="eastAsia"/>
                <w:color w:val="auto"/>
                <w:szCs w:val="21"/>
                <w:highlight w:val="none"/>
                <w:lang w:eastAsia="zh-CN"/>
              </w:rPr>
              <w:t>（</w:t>
            </w:r>
            <w:r>
              <w:rPr>
                <w:color w:val="auto"/>
                <w:szCs w:val="21"/>
                <w:highlight w:val="none"/>
              </w:rPr>
              <w:t>kg/m</w:t>
            </w:r>
            <w:r>
              <w:rPr>
                <w:color w:val="auto"/>
                <w:szCs w:val="21"/>
                <w:highlight w:val="none"/>
                <w:vertAlign w:val="superscript"/>
              </w:rPr>
              <w:t>3</w:t>
            </w:r>
            <w:r>
              <w:rPr>
                <w:rFonts w:hint="eastAsia"/>
                <w:color w:val="auto"/>
                <w:szCs w:val="21"/>
                <w:highlight w:val="none"/>
                <w:lang w:eastAsia="zh-CN"/>
              </w:rPr>
              <w:t>）</w:t>
            </w:r>
          </w:p>
        </w:tc>
        <w:tc>
          <w:tcPr>
            <w:tcW w:w="825" w:type="pct"/>
            <w:vAlign w:val="center"/>
          </w:tcPr>
          <w:p>
            <w:pPr>
              <w:jc w:val="center"/>
              <w:rPr>
                <w:color w:val="auto"/>
                <w:szCs w:val="21"/>
                <w:highlight w:val="none"/>
              </w:rPr>
            </w:pPr>
            <w:r>
              <w:rPr>
                <w:color w:val="auto"/>
                <w:szCs w:val="21"/>
                <w:highlight w:val="none"/>
              </w:rPr>
              <w:t>180~250</w:t>
            </w:r>
          </w:p>
        </w:tc>
        <w:tc>
          <w:tcPr>
            <w:tcW w:w="802" w:type="pct"/>
            <w:vAlign w:val="center"/>
          </w:tcPr>
          <w:p>
            <w:pPr>
              <w:jc w:val="center"/>
              <w:rPr>
                <w:color w:val="auto"/>
                <w:szCs w:val="21"/>
                <w:highlight w:val="none"/>
              </w:rPr>
            </w:pPr>
            <w:r>
              <w:rPr>
                <w:color w:val="auto"/>
                <w:szCs w:val="21"/>
                <w:highlight w:val="none"/>
              </w:rPr>
              <w:t>250~350</w:t>
            </w:r>
          </w:p>
        </w:tc>
        <w:tc>
          <w:tcPr>
            <w:tcW w:w="1288" w:type="pct"/>
            <w:vAlign w:val="center"/>
          </w:tcPr>
          <w:p>
            <w:pPr>
              <w:jc w:val="center"/>
              <w:rPr>
                <w:color w:val="auto"/>
                <w:szCs w:val="21"/>
                <w:highlight w:val="none"/>
              </w:rPr>
            </w:pPr>
            <w:r>
              <w:rPr>
                <w:color w:val="auto"/>
                <w:szCs w:val="21"/>
                <w:highlight w:val="none"/>
              </w:rPr>
              <w:t>GB/T 5486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2084" w:type="pct"/>
            <w:vAlign w:val="center"/>
          </w:tcPr>
          <w:p>
            <w:pPr>
              <w:jc w:val="center"/>
              <w:rPr>
                <w:rFonts w:hint="default" w:eastAsia="宋体"/>
                <w:color w:val="auto"/>
                <w:szCs w:val="21"/>
                <w:highlight w:val="none"/>
                <w:lang w:val="en-US" w:eastAsia="zh-CN"/>
              </w:rPr>
            </w:pPr>
            <w:r>
              <w:rPr>
                <w:color w:val="auto"/>
                <w:szCs w:val="21"/>
                <w:highlight w:val="none"/>
              </w:rPr>
              <w:t>导热系数</w:t>
            </w:r>
            <w:r>
              <w:rPr>
                <w:rFonts w:hint="eastAsia"/>
                <w:color w:val="auto"/>
                <w:szCs w:val="21"/>
                <w:highlight w:val="none"/>
                <w:lang w:val="en-US" w:eastAsia="zh-CN"/>
              </w:rPr>
              <w:t>[</w:t>
            </w:r>
            <w:r>
              <w:rPr>
                <w:color w:val="auto"/>
                <w:szCs w:val="21"/>
                <w:highlight w:val="none"/>
              </w:rPr>
              <w:t>W/(m·k)</w:t>
            </w:r>
            <w:r>
              <w:rPr>
                <w:rFonts w:hint="eastAsia"/>
                <w:color w:val="auto"/>
                <w:szCs w:val="21"/>
                <w:highlight w:val="none"/>
                <w:lang w:val="en-US" w:eastAsia="zh-CN"/>
              </w:rPr>
              <w:t>]</w:t>
            </w:r>
          </w:p>
        </w:tc>
        <w:tc>
          <w:tcPr>
            <w:tcW w:w="825" w:type="pct"/>
            <w:vAlign w:val="center"/>
          </w:tcPr>
          <w:p>
            <w:pPr>
              <w:jc w:val="center"/>
              <w:rPr>
                <w:color w:val="auto"/>
                <w:szCs w:val="21"/>
                <w:highlight w:val="none"/>
              </w:rPr>
            </w:pPr>
            <w:r>
              <w:rPr>
                <w:color w:val="auto"/>
                <w:szCs w:val="21"/>
                <w:highlight w:val="none"/>
              </w:rPr>
              <w:t>≤0.06</w:t>
            </w:r>
            <w:r>
              <w:rPr>
                <w:rFonts w:hint="eastAsia"/>
                <w:color w:val="auto"/>
                <w:szCs w:val="21"/>
                <w:highlight w:val="none"/>
              </w:rPr>
              <w:t>0</w:t>
            </w:r>
          </w:p>
        </w:tc>
        <w:tc>
          <w:tcPr>
            <w:tcW w:w="802" w:type="pct"/>
            <w:vAlign w:val="center"/>
          </w:tcPr>
          <w:p>
            <w:pPr>
              <w:jc w:val="center"/>
              <w:rPr>
                <w:color w:val="auto"/>
                <w:szCs w:val="21"/>
                <w:highlight w:val="none"/>
              </w:rPr>
            </w:pPr>
            <w:r>
              <w:rPr>
                <w:color w:val="auto"/>
                <w:szCs w:val="21"/>
                <w:highlight w:val="none"/>
              </w:rPr>
              <w:t>≤0.080</w:t>
            </w:r>
          </w:p>
        </w:tc>
        <w:tc>
          <w:tcPr>
            <w:tcW w:w="1288" w:type="pct"/>
            <w:vAlign w:val="center"/>
          </w:tcPr>
          <w:p>
            <w:pPr>
              <w:jc w:val="center"/>
              <w:rPr>
                <w:color w:val="auto"/>
                <w:szCs w:val="21"/>
                <w:highlight w:val="none"/>
              </w:rPr>
            </w:pPr>
            <w:r>
              <w:rPr>
                <w:color w:val="auto"/>
                <w:szCs w:val="21"/>
                <w:highlight w:val="none"/>
              </w:rPr>
              <w:t>GB/T 10294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2084" w:type="pct"/>
            <w:vAlign w:val="center"/>
          </w:tcPr>
          <w:p>
            <w:pPr>
              <w:jc w:val="center"/>
              <w:rPr>
                <w:rFonts w:hint="eastAsia" w:eastAsia="宋体"/>
                <w:color w:val="auto"/>
                <w:szCs w:val="21"/>
                <w:highlight w:val="none"/>
                <w:lang w:eastAsia="zh-CN"/>
              </w:rPr>
            </w:pPr>
            <w:r>
              <w:rPr>
                <w:color w:val="auto"/>
                <w:szCs w:val="21"/>
                <w:highlight w:val="none"/>
              </w:rPr>
              <w:t>抗压强度</w:t>
            </w:r>
            <w:r>
              <w:rPr>
                <w:rFonts w:hint="eastAsia"/>
                <w:color w:val="auto"/>
                <w:szCs w:val="21"/>
                <w:highlight w:val="none"/>
                <w:lang w:eastAsia="zh-CN"/>
              </w:rPr>
              <w:t>（</w:t>
            </w:r>
            <w:r>
              <w:rPr>
                <w:color w:val="auto"/>
                <w:szCs w:val="21"/>
                <w:highlight w:val="none"/>
              </w:rPr>
              <w:t>MPa</w:t>
            </w:r>
            <w:r>
              <w:rPr>
                <w:rFonts w:hint="eastAsia"/>
                <w:color w:val="auto"/>
                <w:szCs w:val="21"/>
                <w:highlight w:val="none"/>
                <w:lang w:eastAsia="zh-CN"/>
              </w:rPr>
              <w:t>）</w:t>
            </w:r>
          </w:p>
        </w:tc>
        <w:tc>
          <w:tcPr>
            <w:tcW w:w="825" w:type="pct"/>
            <w:vAlign w:val="center"/>
          </w:tcPr>
          <w:p>
            <w:pPr>
              <w:jc w:val="center"/>
              <w:rPr>
                <w:color w:val="auto"/>
                <w:szCs w:val="21"/>
                <w:highlight w:val="none"/>
              </w:rPr>
            </w:pPr>
            <w:r>
              <w:rPr>
                <w:color w:val="auto"/>
                <w:szCs w:val="21"/>
                <w:highlight w:val="none"/>
              </w:rPr>
              <w:t>≥0.20</w:t>
            </w:r>
          </w:p>
        </w:tc>
        <w:tc>
          <w:tcPr>
            <w:tcW w:w="802" w:type="pct"/>
            <w:vAlign w:val="center"/>
          </w:tcPr>
          <w:p>
            <w:pPr>
              <w:jc w:val="center"/>
              <w:rPr>
                <w:color w:val="auto"/>
                <w:szCs w:val="21"/>
                <w:highlight w:val="none"/>
              </w:rPr>
            </w:pPr>
            <w:r>
              <w:rPr>
                <w:color w:val="auto"/>
                <w:szCs w:val="21"/>
                <w:highlight w:val="none"/>
              </w:rPr>
              <w:t>≥0.30</w:t>
            </w:r>
          </w:p>
        </w:tc>
        <w:tc>
          <w:tcPr>
            <w:tcW w:w="1288" w:type="pct"/>
            <w:vAlign w:val="center"/>
          </w:tcPr>
          <w:p>
            <w:pPr>
              <w:jc w:val="center"/>
              <w:rPr>
                <w:color w:val="auto"/>
                <w:szCs w:val="21"/>
                <w:highlight w:val="none"/>
              </w:rPr>
            </w:pPr>
            <w:r>
              <w:rPr>
                <w:color w:val="auto"/>
                <w:szCs w:val="21"/>
                <w:highlight w:val="none"/>
              </w:rPr>
              <w:t>GB/T 5486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2084" w:type="pct"/>
            <w:vAlign w:val="center"/>
          </w:tcPr>
          <w:p>
            <w:pPr>
              <w:jc w:val="center"/>
              <w:rPr>
                <w:color w:val="auto"/>
                <w:szCs w:val="21"/>
                <w:highlight w:val="none"/>
              </w:rPr>
            </w:pPr>
            <w:r>
              <w:rPr>
                <w:color w:val="auto"/>
                <w:szCs w:val="21"/>
                <w:highlight w:val="none"/>
              </w:rPr>
              <w:t>垂直于板面的抗拉强度</w:t>
            </w:r>
            <w:r>
              <w:rPr>
                <w:rFonts w:hint="eastAsia"/>
                <w:color w:val="auto"/>
                <w:szCs w:val="21"/>
                <w:highlight w:val="none"/>
                <w:lang w:eastAsia="zh-CN"/>
              </w:rPr>
              <w:t>（</w:t>
            </w:r>
            <w:r>
              <w:rPr>
                <w:color w:val="auto"/>
                <w:szCs w:val="21"/>
                <w:highlight w:val="none"/>
              </w:rPr>
              <w:t>MPa</w:t>
            </w:r>
            <w:r>
              <w:rPr>
                <w:rFonts w:hint="eastAsia"/>
                <w:color w:val="auto"/>
                <w:szCs w:val="21"/>
                <w:highlight w:val="none"/>
                <w:lang w:eastAsia="zh-CN"/>
              </w:rPr>
              <w:t>）</w:t>
            </w:r>
          </w:p>
        </w:tc>
        <w:tc>
          <w:tcPr>
            <w:tcW w:w="1627" w:type="pct"/>
            <w:gridSpan w:val="2"/>
            <w:vAlign w:val="center"/>
          </w:tcPr>
          <w:p>
            <w:pPr>
              <w:jc w:val="center"/>
              <w:rPr>
                <w:color w:val="auto"/>
                <w:szCs w:val="21"/>
                <w:highlight w:val="none"/>
              </w:rPr>
            </w:pPr>
            <w:r>
              <w:rPr>
                <w:color w:val="auto"/>
                <w:szCs w:val="21"/>
                <w:highlight w:val="none"/>
              </w:rPr>
              <w:t>≥0.12</w:t>
            </w:r>
          </w:p>
        </w:tc>
        <w:tc>
          <w:tcPr>
            <w:tcW w:w="1288" w:type="pct"/>
            <w:vAlign w:val="center"/>
          </w:tcPr>
          <w:p>
            <w:pPr>
              <w:jc w:val="center"/>
              <w:rPr>
                <w:color w:val="auto"/>
                <w:szCs w:val="21"/>
                <w:highlight w:val="none"/>
              </w:rPr>
            </w:pPr>
            <w:r>
              <w:rPr>
                <w:color w:val="auto"/>
                <w:szCs w:val="21"/>
                <w:highlight w:val="none"/>
              </w:rPr>
              <w:t>JGJ 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2084" w:type="pct"/>
            <w:vAlign w:val="center"/>
          </w:tcPr>
          <w:p>
            <w:pPr>
              <w:jc w:val="center"/>
              <w:rPr>
                <w:color w:val="auto"/>
                <w:szCs w:val="21"/>
                <w:highlight w:val="none"/>
              </w:rPr>
            </w:pPr>
            <w:r>
              <w:rPr>
                <w:color w:val="auto"/>
                <w:szCs w:val="21"/>
                <w:highlight w:val="none"/>
              </w:rPr>
              <w:t>体积吸水率</w:t>
            </w:r>
            <w:r>
              <w:rPr>
                <w:rFonts w:hint="eastAsia"/>
                <w:color w:val="auto"/>
                <w:szCs w:val="21"/>
                <w:highlight w:val="none"/>
                <w:lang w:eastAsia="zh-CN"/>
              </w:rPr>
              <w:t>（</w:t>
            </w:r>
            <w:r>
              <w:rPr>
                <w:color w:val="auto"/>
                <w:szCs w:val="21"/>
                <w:highlight w:val="none"/>
              </w:rPr>
              <w:t>%</w:t>
            </w:r>
            <w:r>
              <w:rPr>
                <w:rFonts w:hint="eastAsia"/>
                <w:color w:val="auto"/>
                <w:szCs w:val="21"/>
                <w:highlight w:val="none"/>
                <w:lang w:eastAsia="zh-CN"/>
              </w:rPr>
              <w:t>）</w:t>
            </w:r>
          </w:p>
        </w:tc>
        <w:tc>
          <w:tcPr>
            <w:tcW w:w="1627" w:type="pct"/>
            <w:gridSpan w:val="2"/>
            <w:vAlign w:val="center"/>
          </w:tcPr>
          <w:p>
            <w:pPr>
              <w:jc w:val="center"/>
              <w:rPr>
                <w:color w:val="auto"/>
                <w:szCs w:val="21"/>
                <w:highlight w:val="none"/>
              </w:rPr>
            </w:pPr>
            <w:r>
              <w:rPr>
                <w:color w:val="auto"/>
                <w:szCs w:val="21"/>
                <w:highlight w:val="none"/>
              </w:rPr>
              <w:t>≤10.0</w:t>
            </w:r>
          </w:p>
        </w:tc>
        <w:tc>
          <w:tcPr>
            <w:tcW w:w="1288" w:type="pct"/>
            <w:vAlign w:val="center"/>
          </w:tcPr>
          <w:p>
            <w:pPr>
              <w:jc w:val="center"/>
              <w:rPr>
                <w:color w:val="auto"/>
                <w:szCs w:val="21"/>
                <w:highlight w:val="none"/>
              </w:rPr>
            </w:pPr>
            <w:r>
              <w:rPr>
                <w:color w:val="auto"/>
                <w:szCs w:val="21"/>
                <w:highlight w:val="none"/>
              </w:rPr>
              <w:t>GB/T 5486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2084" w:type="pct"/>
            <w:vAlign w:val="center"/>
          </w:tcPr>
          <w:p>
            <w:pPr>
              <w:jc w:val="center"/>
              <w:rPr>
                <w:rFonts w:hint="eastAsia" w:eastAsia="宋体"/>
                <w:color w:val="auto"/>
                <w:szCs w:val="21"/>
                <w:highlight w:val="none"/>
                <w:lang w:eastAsia="zh-CN"/>
              </w:rPr>
            </w:pPr>
            <w:r>
              <w:rPr>
                <w:color w:val="auto"/>
                <w:szCs w:val="21"/>
                <w:highlight w:val="none"/>
              </w:rPr>
              <w:t>线性收缩率（56d）</w:t>
            </w:r>
            <w:r>
              <w:rPr>
                <w:rFonts w:hint="eastAsia"/>
                <w:color w:val="auto"/>
                <w:szCs w:val="21"/>
                <w:highlight w:val="none"/>
                <w:lang w:eastAsia="zh-CN"/>
              </w:rPr>
              <w:t>（</w:t>
            </w:r>
            <w:r>
              <w:rPr>
                <w:color w:val="auto"/>
                <w:szCs w:val="21"/>
                <w:highlight w:val="none"/>
              </w:rPr>
              <w:t>mm/m</w:t>
            </w:r>
            <w:r>
              <w:rPr>
                <w:rFonts w:hint="eastAsia"/>
                <w:color w:val="auto"/>
                <w:szCs w:val="21"/>
                <w:highlight w:val="none"/>
                <w:lang w:eastAsia="zh-CN"/>
              </w:rPr>
              <w:t>）</w:t>
            </w:r>
          </w:p>
        </w:tc>
        <w:tc>
          <w:tcPr>
            <w:tcW w:w="1627" w:type="pct"/>
            <w:gridSpan w:val="2"/>
            <w:vAlign w:val="center"/>
          </w:tcPr>
          <w:p>
            <w:pPr>
              <w:jc w:val="center"/>
              <w:rPr>
                <w:color w:val="auto"/>
                <w:szCs w:val="21"/>
                <w:highlight w:val="none"/>
              </w:rPr>
            </w:pPr>
            <w:r>
              <w:rPr>
                <w:color w:val="auto"/>
                <w:szCs w:val="21"/>
                <w:highlight w:val="none"/>
              </w:rPr>
              <w:t>≤0.30</w:t>
            </w:r>
          </w:p>
        </w:tc>
        <w:tc>
          <w:tcPr>
            <w:tcW w:w="1288" w:type="pct"/>
            <w:vAlign w:val="center"/>
          </w:tcPr>
          <w:p>
            <w:pPr>
              <w:jc w:val="center"/>
              <w:rPr>
                <w:color w:val="auto"/>
                <w:szCs w:val="21"/>
                <w:highlight w:val="none"/>
              </w:rPr>
            </w:pPr>
            <w:r>
              <w:rPr>
                <w:color w:val="auto"/>
                <w:szCs w:val="21"/>
                <w:highlight w:val="none"/>
              </w:rPr>
              <w:t>JGJ/T 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084" w:type="pct"/>
            <w:vAlign w:val="center"/>
          </w:tcPr>
          <w:p>
            <w:pPr>
              <w:jc w:val="center"/>
              <w:rPr>
                <w:color w:val="auto"/>
                <w:szCs w:val="21"/>
                <w:highlight w:val="none"/>
              </w:rPr>
            </w:pPr>
            <w:r>
              <w:rPr>
                <w:color w:val="auto"/>
                <w:szCs w:val="21"/>
                <w:highlight w:val="none"/>
              </w:rPr>
              <w:t>软化系数</w:t>
            </w:r>
          </w:p>
        </w:tc>
        <w:tc>
          <w:tcPr>
            <w:tcW w:w="1627" w:type="pct"/>
            <w:gridSpan w:val="2"/>
            <w:vAlign w:val="center"/>
          </w:tcPr>
          <w:p>
            <w:pPr>
              <w:jc w:val="center"/>
              <w:rPr>
                <w:color w:val="auto"/>
                <w:szCs w:val="21"/>
                <w:highlight w:val="none"/>
              </w:rPr>
            </w:pPr>
            <w:r>
              <w:rPr>
                <w:color w:val="auto"/>
                <w:szCs w:val="21"/>
                <w:highlight w:val="none"/>
              </w:rPr>
              <w:t>≥0.80</w:t>
            </w:r>
          </w:p>
        </w:tc>
        <w:tc>
          <w:tcPr>
            <w:tcW w:w="1288" w:type="pct"/>
            <w:vAlign w:val="center"/>
          </w:tcPr>
          <w:p>
            <w:pPr>
              <w:jc w:val="center"/>
              <w:rPr>
                <w:color w:val="auto"/>
                <w:szCs w:val="21"/>
                <w:highlight w:val="none"/>
              </w:rPr>
            </w:pPr>
            <w:r>
              <w:rPr>
                <w:color w:val="auto"/>
                <w:szCs w:val="21"/>
                <w:highlight w:val="none"/>
              </w:rPr>
              <w:t>GB/T 5486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2084" w:type="pct"/>
            <w:vAlign w:val="center"/>
          </w:tcPr>
          <w:p>
            <w:pPr>
              <w:jc w:val="center"/>
              <w:rPr>
                <w:color w:val="auto"/>
                <w:szCs w:val="21"/>
                <w:highlight w:val="none"/>
              </w:rPr>
            </w:pPr>
            <w:r>
              <w:rPr>
                <w:color w:val="auto"/>
                <w:szCs w:val="21"/>
                <w:highlight w:val="none"/>
              </w:rPr>
              <w:t>燃烧性能</w:t>
            </w:r>
          </w:p>
        </w:tc>
        <w:tc>
          <w:tcPr>
            <w:tcW w:w="1627" w:type="pct"/>
            <w:gridSpan w:val="2"/>
            <w:vAlign w:val="center"/>
          </w:tcPr>
          <w:p>
            <w:pPr>
              <w:jc w:val="center"/>
              <w:rPr>
                <w:color w:val="auto"/>
                <w:szCs w:val="21"/>
                <w:highlight w:val="none"/>
              </w:rPr>
            </w:pPr>
            <w:r>
              <w:rPr>
                <w:color w:val="auto"/>
                <w:szCs w:val="21"/>
                <w:highlight w:val="none"/>
              </w:rPr>
              <w:t xml:space="preserve"> A（A</w:t>
            </w:r>
            <w:r>
              <w:rPr>
                <w:rFonts w:hint="eastAsia"/>
                <w:color w:val="auto"/>
                <w:szCs w:val="21"/>
                <w:highlight w:val="none"/>
              </w:rPr>
              <w:t>2</w:t>
            </w:r>
            <w:r>
              <w:rPr>
                <w:color w:val="auto"/>
                <w:szCs w:val="21"/>
                <w:highlight w:val="none"/>
              </w:rPr>
              <w:t>）级</w:t>
            </w:r>
          </w:p>
        </w:tc>
        <w:tc>
          <w:tcPr>
            <w:tcW w:w="1288" w:type="pct"/>
            <w:vAlign w:val="center"/>
          </w:tcPr>
          <w:p>
            <w:pPr>
              <w:jc w:val="center"/>
              <w:rPr>
                <w:color w:val="auto"/>
                <w:szCs w:val="21"/>
                <w:highlight w:val="none"/>
              </w:rPr>
            </w:pPr>
            <w:r>
              <w:rPr>
                <w:color w:val="auto"/>
                <w:szCs w:val="21"/>
                <w:highlight w:val="none"/>
              </w:rPr>
              <w:t>GB 8624</w:t>
            </w:r>
          </w:p>
        </w:tc>
      </w:tr>
    </w:tbl>
    <w:p>
      <w:pPr>
        <w:snapToGrid w:val="0"/>
        <w:spacing w:line="360" w:lineRule="auto"/>
        <w:rPr>
          <w:b/>
          <w:color w:val="auto"/>
          <w:sz w:val="24"/>
          <w:highlight w:val="none"/>
        </w:rPr>
      </w:pPr>
    </w:p>
    <w:p>
      <w:pPr>
        <w:spacing w:line="360" w:lineRule="auto"/>
        <w:jc w:val="center"/>
        <w:rPr>
          <w:b/>
          <w:color w:val="auto"/>
          <w:highlight w:val="none"/>
        </w:rPr>
      </w:pPr>
      <w:r>
        <w:rPr>
          <w:b/>
          <w:color w:val="auto"/>
          <w:highlight w:val="none"/>
        </w:rPr>
        <w:t>表</w:t>
      </w:r>
      <w:r>
        <w:rPr>
          <w:b/>
          <w:color w:val="auto"/>
          <w:szCs w:val="21"/>
          <w:highlight w:val="none"/>
          <w:lang w:bidi="en-US"/>
        </w:rPr>
        <w:t>4.</w:t>
      </w:r>
      <w:r>
        <w:rPr>
          <w:rFonts w:hint="eastAsia"/>
          <w:b/>
          <w:color w:val="auto"/>
          <w:szCs w:val="21"/>
          <w:highlight w:val="none"/>
          <w:lang w:bidi="en-US"/>
        </w:rPr>
        <w:t>3.6</w:t>
      </w:r>
      <w:r>
        <w:rPr>
          <w:b/>
          <w:color w:val="auto"/>
          <w:szCs w:val="21"/>
          <w:highlight w:val="none"/>
          <w:lang w:bidi="en-US"/>
        </w:rPr>
        <w:t>-2</w:t>
      </w:r>
      <w:r>
        <w:rPr>
          <w:b/>
          <w:color w:val="auto"/>
          <w:highlight w:val="none"/>
        </w:rPr>
        <w:t>热固复合聚苯乙烯泡沫保温板性能指标</w:t>
      </w:r>
    </w:p>
    <w:tbl>
      <w:tblPr>
        <w:tblStyle w:val="24"/>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7"/>
        <w:gridCol w:w="3182"/>
        <w:gridCol w:w="2752"/>
        <w:gridCol w:w="2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2187" w:type="pct"/>
            <w:gridSpan w:val="2"/>
            <w:vAlign w:val="center"/>
          </w:tcPr>
          <w:p>
            <w:pPr>
              <w:spacing w:line="360" w:lineRule="auto"/>
              <w:jc w:val="center"/>
              <w:rPr>
                <w:color w:val="auto"/>
                <w:szCs w:val="21"/>
                <w:highlight w:val="none"/>
              </w:rPr>
            </w:pPr>
            <w:r>
              <w:rPr>
                <w:color w:val="auto"/>
                <w:szCs w:val="21"/>
                <w:highlight w:val="none"/>
              </w:rPr>
              <w:t>项目</w:t>
            </w:r>
          </w:p>
        </w:tc>
        <w:tc>
          <w:tcPr>
            <w:tcW w:w="1516" w:type="pct"/>
            <w:vAlign w:val="center"/>
          </w:tcPr>
          <w:p>
            <w:pPr>
              <w:spacing w:line="360" w:lineRule="auto"/>
              <w:jc w:val="center"/>
              <w:rPr>
                <w:color w:val="auto"/>
                <w:szCs w:val="21"/>
                <w:highlight w:val="none"/>
              </w:rPr>
            </w:pPr>
            <w:r>
              <w:rPr>
                <w:color w:val="auto"/>
                <w:szCs w:val="21"/>
                <w:highlight w:val="none"/>
              </w:rPr>
              <w:t>性能指标</w:t>
            </w:r>
          </w:p>
        </w:tc>
        <w:tc>
          <w:tcPr>
            <w:tcW w:w="1295" w:type="pct"/>
            <w:vAlign w:val="center"/>
          </w:tcPr>
          <w:p>
            <w:pPr>
              <w:spacing w:line="360" w:lineRule="auto"/>
              <w:jc w:val="center"/>
              <w:rPr>
                <w:color w:val="auto"/>
                <w:szCs w:val="21"/>
                <w:highlight w:val="none"/>
              </w:rPr>
            </w:pPr>
            <w:r>
              <w:rPr>
                <w:color w:val="auto"/>
                <w:szCs w:val="21"/>
                <w:highlight w:val="none"/>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2187" w:type="pct"/>
            <w:gridSpan w:val="2"/>
            <w:vAlign w:val="center"/>
          </w:tcPr>
          <w:p>
            <w:pPr>
              <w:spacing w:line="360" w:lineRule="auto"/>
              <w:jc w:val="center"/>
              <w:rPr>
                <w:color w:val="auto"/>
                <w:szCs w:val="21"/>
                <w:highlight w:val="none"/>
              </w:rPr>
            </w:pPr>
            <w:r>
              <w:rPr>
                <w:color w:val="auto"/>
                <w:szCs w:val="21"/>
                <w:highlight w:val="none"/>
              </w:rPr>
              <w:t>干表观密度</w:t>
            </w:r>
            <w:r>
              <w:rPr>
                <w:rFonts w:hint="eastAsia"/>
                <w:color w:val="auto"/>
                <w:szCs w:val="21"/>
                <w:highlight w:val="none"/>
                <w:lang w:eastAsia="zh-CN"/>
              </w:rPr>
              <w:t>（</w:t>
            </w:r>
            <w:r>
              <w:rPr>
                <w:color w:val="auto"/>
                <w:szCs w:val="21"/>
                <w:highlight w:val="none"/>
              </w:rPr>
              <w:t>kg/m</w:t>
            </w:r>
            <w:r>
              <w:rPr>
                <w:color w:val="auto"/>
                <w:szCs w:val="21"/>
                <w:highlight w:val="none"/>
                <w:vertAlign w:val="superscript"/>
              </w:rPr>
              <w:t>3</w:t>
            </w:r>
            <w:r>
              <w:rPr>
                <w:rFonts w:hint="eastAsia"/>
                <w:color w:val="auto"/>
                <w:szCs w:val="21"/>
                <w:highlight w:val="none"/>
                <w:lang w:eastAsia="zh-CN"/>
              </w:rPr>
              <w:t>）</w:t>
            </w:r>
          </w:p>
        </w:tc>
        <w:tc>
          <w:tcPr>
            <w:tcW w:w="1516" w:type="pct"/>
            <w:vAlign w:val="center"/>
          </w:tcPr>
          <w:p>
            <w:pPr>
              <w:spacing w:line="360" w:lineRule="auto"/>
              <w:jc w:val="center"/>
              <w:rPr>
                <w:color w:val="auto"/>
                <w:szCs w:val="21"/>
                <w:highlight w:val="none"/>
              </w:rPr>
            </w:pPr>
            <w:r>
              <w:rPr>
                <w:color w:val="auto"/>
                <w:szCs w:val="21"/>
                <w:highlight w:val="none"/>
              </w:rPr>
              <w:t>≤180</w:t>
            </w:r>
          </w:p>
        </w:tc>
        <w:tc>
          <w:tcPr>
            <w:tcW w:w="1295" w:type="pct"/>
            <w:vAlign w:val="center"/>
          </w:tcPr>
          <w:p>
            <w:pPr>
              <w:spacing w:line="360" w:lineRule="auto"/>
              <w:jc w:val="center"/>
              <w:rPr>
                <w:color w:val="auto"/>
                <w:szCs w:val="21"/>
                <w:highlight w:val="none"/>
              </w:rPr>
            </w:pPr>
            <w:r>
              <w:rPr>
                <w:color w:val="auto"/>
                <w:szCs w:val="21"/>
                <w:highlight w:val="none"/>
              </w:rPr>
              <w:t>JG/T 536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2187" w:type="pct"/>
            <w:gridSpan w:val="2"/>
            <w:vAlign w:val="center"/>
          </w:tcPr>
          <w:p>
            <w:pPr>
              <w:spacing w:line="360" w:lineRule="auto"/>
              <w:jc w:val="center"/>
              <w:rPr>
                <w:rFonts w:hint="eastAsia" w:eastAsia="宋体"/>
                <w:color w:val="auto"/>
                <w:szCs w:val="21"/>
                <w:highlight w:val="none"/>
                <w:lang w:val="en-US" w:eastAsia="zh-CN"/>
              </w:rPr>
            </w:pPr>
            <w:r>
              <w:rPr>
                <w:color w:val="auto"/>
                <w:szCs w:val="21"/>
                <w:highlight w:val="none"/>
              </w:rPr>
              <w:t>导热系数</w:t>
            </w:r>
            <w:r>
              <w:rPr>
                <w:rFonts w:hint="eastAsia"/>
                <w:color w:val="auto"/>
                <w:szCs w:val="21"/>
                <w:highlight w:val="none"/>
                <w:lang w:val="en-US" w:eastAsia="zh-CN"/>
              </w:rPr>
              <w:t>[</w:t>
            </w:r>
            <w:r>
              <w:rPr>
                <w:color w:val="auto"/>
                <w:szCs w:val="21"/>
                <w:highlight w:val="none"/>
              </w:rPr>
              <w:t>W/(m·K)</w:t>
            </w:r>
            <w:r>
              <w:rPr>
                <w:rFonts w:hint="eastAsia"/>
                <w:color w:val="auto"/>
                <w:szCs w:val="21"/>
                <w:highlight w:val="none"/>
                <w:lang w:val="en-US" w:eastAsia="zh-CN"/>
              </w:rPr>
              <w:t>]</w:t>
            </w:r>
          </w:p>
        </w:tc>
        <w:tc>
          <w:tcPr>
            <w:tcW w:w="1516" w:type="pct"/>
            <w:vAlign w:val="center"/>
          </w:tcPr>
          <w:p>
            <w:pPr>
              <w:spacing w:line="360" w:lineRule="auto"/>
              <w:jc w:val="center"/>
              <w:rPr>
                <w:color w:val="auto"/>
                <w:szCs w:val="21"/>
                <w:highlight w:val="none"/>
              </w:rPr>
            </w:pPr>
            <w:r>
              <w:rPr>
                <w:color w:val="auto"/>
                <w:szCs w:val="21"/>
                <w:highlight w:val="none"/>
              </w:rPr>
              <w:t>≤0.050</w:t>
            </w:r>
          </w:p>
        </w:tc>
        <w:tc>
          <w:tcPr>
            <w:tcW w:w="1295" w:type="pct"/>
            <w:vAlign w:val="center"/>
          </w:tcPr>
          <w:p>
            <w:pPr>
              <w:spacing w:line="360" w:lineRule="auto"/>
              <w:jc w:val="center"/>
              <w:rPr>
                <w:color w:val="auto"/>
                <w:szCs w:val="21"/>
                <w:highlight w:val="none"/>
              </w:rPr>
            </w:pPr>
            <w:r>
              <w:rPr>
                <w:color w:val="auto"/>
                <w:szCs w:val="21"/>
                <w:highlight w:val="none"/>
              </w:rPr>
              <w:t>JG/T 536</w:t>
            </w:r>
          </w:p>
          <w:p>
            <w:pPr>
              <w:spacing w:line="360" w:lineRule="auto"/>
              <w:jc w:val="center"/>
              <w:rPr>
                <w:color w:val="auto"/>
                <w:szCs w:val="21"/>
                <w:highlight w:val="none"/>
              </w:rPr>
            </w:pPr>
            <w:r>
              <w:rPr>
                <w:color w:val="auto"/>
                <w:szCs w:val="21"/>
                <w:highlight w:val="none"/>
              </w:rPr>
              <w:t>GB/T 10294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2187" w:type="pct"/>
            <w:gridSpan w:val="2"/>
            <w:vAlign w:val="center"/>
          </w:tcPr>
          <w:p>
            <w:pPr>
              <w:spacing w:line="360" w:lineRule="auto"/>
              <w:jc w:val="center"/>
              <w:rPr>
                <w:color w:val="auto"/>
                <w:szCs w:val="21"/>
                <w:highlight w:val="none"/>
              </w:rPr>
            </w:pPr>
            <w:r>
              <w:rPr>
                <w:color w:val="auto"/>
                <w:szCs w:val="21"/>
                <w:highlight w:val="none"/>
              </w:rPr>
              <w:t>抗压强度</w:t>
            </w:r>
            <w:r>
              <w:rPr>
                <w:rFonts w:hint="eastAsia"/>
                <w:color w:val="auto"/>
                <w:szCs w:val="21"/>
                <w:highlight w:val="none"/>
                <w:lang w:eastAsia="zh-CN"/>
              </w:rPr>
              <w:t>（</w:t>
            </w:r>
            <w:r>
              <w:rPr>
                <w:color w:val="auto"/>
                <w:szCs w:val="21"/>
                <w:highlight w:val="none"/>
              </w:rPr>
              <w:t>MPa</w:t>
            </w:r>
            <w:r>
              <w:rPr>
                <w:rFonts w:hint="eastAsia"/>
                <w:color w:val="auto"/>
                <w:szCs w:val="21"/>
                <w:highlight w:val="none"/>
                <w:lang w:eastAsia="zh-CN"/>
              </w:rPr>
              <w:t>）</w:t>
            </w:r>
          </w:p>
        </w:tc>
        <w:tc>
          <w:tcPr>
            <w:tcW w:w="1516" w:type="pct"/>
            <w:vAlign w:val="center"/>
          </w:tcPr>
          <w:p>
            <w:pPr>
              <w:spacing w:line="360" w:lineRule="auto"/>
              <w:jc w:val="center"/>
              <w:rPr>
                <w:color w:val="auto"/>
                <w:szCs w:val="21"/>
                <w:highlight w:val="none"/>
              </w:rPr>
            </w:pPr>
            <w:r>
              <w:rPr>
                <w:color w:val="auto"/>
                <w:szCs w:val="21"/>
                <w:highlight w:val="none"/>
              </w:rPr>
              <w:t>≥0.15</w:t>
            </w:r>
          </w:p>
        </w:tc>
        <w:tc>
          <w:tcPr>
            <w:tcW w:w="1295" w:type="pct"/>
            <w:vAlign w:val="center"/>
          </w:tcPr>
          <w:p>
            <w:pPr>
              <w:spacing w:line="360" w:lineRule="auto"/>
              <w:jc w:val="center"/>
              <w:rPr>
                <w:color w:val="auto"/>
                <w:szCs w:val="21"/>
                <w:highlight w:val="none"/>
              </w:rPr>
            </w:pPr>
            <w:r>
              <w:rPr>
                <w:color w:val="auto"/>
                <w:szCs w:val="21"/>
                <w:highlight w:val="none"/>
              </w:rPr>
              <w:t>JG/T 536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2187" w:type="pct"/>
            <w:gridSpan w:val="2"/>
            <w:vAlign w:val="center"/>
          </w:tcPr>
          <w:p>
            <w:pPr>
              <w:spacing w:line="360" w:lineRule="auto"/>
              <w:jc w:val="center"/>
              <w:rPr>
                <w:color w:val="auto"/>
                <w:szCs w:val="21"/>
                <w:highlight w:val="none"/>
              </w:rPr>
            </w:pPr>
            <w:r>
              <w:rPr>
                <w:color w:val="auto"/>
                <w:szCs w:val="21"/>
                <w:highlight w:val="none"/>
              </w:rPr>
              <w:t>垂直于板面的抗拉强度</w:t>
            </w:r>
            <w:r>
              <w:rPr>
                <w:rFonts w:hint="eastAsia"/>
                <w:color w:val="auto"/>
                <w:szCs w:val="21"/>
                <w:highlight w:val="none"/>
                <w:lang w:eastAsia="zh-CN"/>
              </w:rPr>
              <w:t>（</w:t>
            </w:r>
            <w:r>
              <w:rPr>
                <w:color w:val="auto"/>
                <w:szCs w:val="21"/>
                <w:highlight w:val="none"/>
              </w:rPr>
              <w:t>MPa</w:t>
            </w:r>
            <w:r>
              <w:rPr>
                <w:rFonts w:hint="eastAsia"/>
                <w:color w:val="auto"/>
                <w:szCs w:val="21"/>
                <w:highlight w:val="none"/>
                <w:lang w:eastAsia="zh-CN"/>
              </w:rPr>
              <w:t>）</w:t>
            </w:r>
          </w:p>
        </w:tc>
        <w:tc>
          <w:tcPr>
            <w:tcW w:w="1516" w:type="pct"/>
            <w:vAlign w:val="center"/>
          </w:tcPr>
          <w:p>
            <w:pPr>
              <w:spacing w:line="360" w:lineRule="auto"/>
              <w:jc w:val="center"/>
              <w:rPr>
                <w:color w:val="auto"/>
                <w:szCs w:val="21"/>
                <w:highlight w:val="none"/>
              </w:rPr>
            </w:pPr>
            <w:r>
              <w:rPr>
                <w:color w:val="auto"/>
                <w:szCs w:val="21"/>
                <w:highlight w:val="none"/>
              </w:rPr>
              <w:t>≥0.10</w:t>
            </w:r>
          </w:p>
        </w:tc>
        <w:tc>
          <w:tcPr>
            <w:tcW w:w="1295" w:type="pct"/>
            <w:vAlign w:val="center"/>
          </w:tcPr>
          <w:p>
            <w:pPr>
              <w:spacing w:line="360" w:lineRule="auto"/>
              <w:jc w:val="center"/>
              <w:rPr>
                <w:color w:val="auto"/>
                <w:szCs w:val="21"/>
                <w:highlight w:val="none"/>
              </w:rPr>
            </w:pPr>
            <w:r>
              <w:rPr>
                <w:color w:val="auto"/>
                <w:szCs w:val="21"/>
                <w:highlight w:val="none"/>
              </w:rPr>
              <w:t>JG/T 536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2187" w:type="pct"/>
            <w:gridSpan w:val="2"/>
            <w:vAlign w:val="center"/>
          </w:tcPr>
          <w:p>
            <w:pPr>
              <w:spacing w:line="360" w:lineRule="auto"/>
              <w:jc w:val="center"/>
              <w:rPr>
                <w:color w:val="auto"/>
                <w:szCs w:val="21"/>
                <w:highlight w:val="none"/>
              </w:rPr>
            </w:pPr>
            <w:r>
              <w:rPr>
                <w:color w:val="auto"/>
                <w:szCs w:val="21"/>
                <w:highlight w:val="none"/>
              </w:rPr>
              <w:t>软化系数</w:t>
            </w:r>
          </w:p>
        </w:tc>
        <w:tc>
          <w:tcPr>
            <w:tcW w:w="1516" w:type="pct"/>
            <w:vAlign w:val="center"/>
          </w:tcPr>
          <w:p>
            <w:pPr>
              <w:spacing w:line="360" w:lineRule="auto"/>
              <w:jc w:val="center"/>
              <w:rPr>
                <w:color w:val="auto"/>
                <w:szCs w:val="21"/>
                <w:highlight w:val="none"/>
              </w:rPr>
            </w:pPr>
            <w:r>
              <w:rPr>
                <w:color w:val="auto"/>
                <w:szCs w:val="21"/>
                <w:highlight w:val="none"/>
              </w:rPr>
              <w:t>≥</w:t>
            </w:r>
            <w:r>
              <w:rPr>
                <w:rFonts w:hint="eastAsia"/>
                <w:color w:val="auto"/>
                <w:szCs w:val="21"/>
                <w:highlight w:val="none"/>
              </w:rPr>
              <w:t>0</w:t>
            </w:r>
            <w:r>
              <w:rPr>
                <w:color w:val="auto"/>
                <w:szCs w:val="21"/>
                <w:highlight w:val="none"/>
              </w:rPr>
              <w:t>.7</w:t>
            </w:r>
          </w:p>
        </w:tc>
        <w:tc>
          <w:tcPr>
            <w:tcW w:w="1295" w:type="pct"/>
            <w:vAlign w:val="center"/>
          </w:tcPr>
          <w:p>
            <w:pPr>
              <w:spacing w:line="360" w:lineRule="auto"/>
              <w:jc w:val="center"/>
              <w:rPr>
                <w:color w:val="auto"/>
                <w:szCs w:val="21"/>
                <w:highlight w:val="none"/>
              </w:rPr>
            </w:pPr>
            <w:r>
              <w:rPr>
                <w:color w:val="auto"/>
                <w:szCs w:val="21"/>
                <w:highlight w:val="none"/>
              </w:rPr>
              <w:t xml:space="preserve"> JG/T 536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2187" w:type="pct"/>
            <w:gridSpan w:val="2"/>
            <w:vAlign w:val="center"/>
          </w:tcPr>
          <w:p>
            <w:pPr>
              <w:spacing w:line="360" w:lineRule="auto"/>
              <w:jc w:val="center"/>
              <w:rPr>
                <w:color w:val="auto"/>
                <w:szCs w:val="21"/>
                <w:highlight w:val="none"/>
              </w:rPr>
            </w:pPr>
            <w:r>
              <w:rPr>
                <w:color w:val="auto"/>
                <w:szCs w:val="21"/>
                <w:highlight w:val="none"/>
              </w:rPr>
              <w:t>干燥收缩率</w:t>
            </w:r>
            <w:r>
              <w:rPr>
                <w:rFonts w:hint="eastAsia"/>
                <w:color w:val="auto"/>
                <w:szCs w:val="21"/>
                <w:highlight w:val="none"/>
                <w:lang w:eastAsia="zh-CN"/>
              </w:rPr>
              <w:t>（</w:t>
            </w:r>
            <w:r>
              <w:rPr>
                <w:color w:val="auto"/>
                <w:szCs w:val="21"/>
                <w:highlight w:val="none"/>
              </w:rPr>
              <w:t>%</w:t>
            </w:r>
            <w:r>
              <w:rPr>
                <w:rFonts w:hint="eastAsia"/>
                <w:color w:val="auto"/>
                <w:szCs w:val="21"/>
                <w:highlight w:val="none"/>
                <w:lang w:eastAsia="zh-CN"/>
              </w:rPr>
              <w:t>）</w:t>
            </w:r>
          </w:p>
        </w:tc>
        <w:tc>
          <w:tcPr>
            <w:tcW w:w="1516" w:type="pct"/>
            <w:vAlign w:val="center"/>
          </w:tcPr>
          <w:p>
            <w:pPr>
              <w:spacing w:line="360" w:lineRule="auto"/>
              <w:jc w:val="center"/>
              <w:rPr>
                <w:color w:val="auto"/>
                <w:szCs w:val="21"/>
                <w:highlight w:val="none"/>
              </w:rPr>
            </w:pPr>
            <w:r>
              <w:rPr>
                <w:color w:val="auto"/>
                <w:szCs w:val="21"/>
                <w:highlight w:val="none"/>
              </w:rPr>
              <w:t>≤0.6</w:t>
            </w:r>
          </w:p>
        </w:tc>
        <w:tc>
          <w:tcPr>
            <w:tcW w:w="1295" w:type="pct"/>
            <w:vAlign w:val="center"/>
          </w:tcPr>
          <w:p>
            <w:pPr>
              <w:spacing w:line="360" w:lineRule="auto"/>
              <w:jc w:val="center"/>
              <w:rPr>
                <w:color w:val="auto"/>
                <w:szCs w:val="21"/>
                <w:highlight w:val="none"/>
              </w:rPr>
            </w:pPr>
            <w:r>
              <w:rPr>
                <w:color w:val="auto"/>
                <w:szCs w:val="21"/>
                <w:highlight w:val="none"/>
              </w:rPr>
              <w:t>JG/T 536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187" w:type="pct"/>
            <w:gridSpan w:val="2"/>
            <w:vAlign w:val="center"/>
          </w:tcPr>
          <w:p>
            <w:pPr>
              <w:spacing w:line="360" w:lineRule="auto"/>
              <w:jc w:val="center"/>
              <w:rPr>
                <w:color w:val="auto"/>
                <w:szCs w:val="21"/>
                <w:highlight w:val="none"/>
              </w:rPr>
            </w:pPr>
            <w:r>
              <w:rPr>
                <w:color w:val="auto"/>
                <w:szCs w:val="21"/>
                <w:highlight w:val="none"/>
              </w:rPr>
              <w:t>体积吸水率</w:t>
            </w:r>
            <w:r>
              <w:rPr>
                <w:rFonts w:hint="eastAsia"/>
                <w:color w:val="auto"/>
                <w:szCs w:val="21"/>
                <w:highlight w:val="none"/>
                <w:lang w:eastAsia="zh-CN"/>
              </w:rPr>
              <w:t>（</w:t>
            </w:r>
            <w:r>
              <w:rPr>
                <w:color w:val="auto"/>
                <w:szCs w:val="21"/>
                <w:highlight w:val="none"/>
              </w:rPr>
              <w:t>%</w:t>
            </w:r>
            <w:r>
              <w:rPr>
                <w:rFonts w:hint="eastAsia"/>
                <w:color w:val="auto"/>
                <w:szCs w:val="21"/>
                <w:highlight w:val="none"/>
                <w:lang w:eastAsia="zh-CN"/>
              </w:rPr>
              <w:t>）</w:t>
            </w:r>
          </w:p>
        </w:tc>
        <w:tc>
          <w:tcPr>
            <w:tcW w:w="1516" w:type="pct"/>
            <w:vAlign w:val="center"/>
          </w:tcPr>
          <w:p>
            <w:pPr>
              <w:spacing w:line="360" w:lineRule="auto"/>
              <w:jc w:val="center"/>
              <w:rPr>
                <w:color w:val="auto"/>
                <w:szCs w:val="21"/>
                <w:highlight w:val="none"/>
              </w:rPr>
            </w:pPr>
            <w:r>
              <w:rPr>
                <w:color w:val="auto"/>
                <w:szCs w:val="21"/>
                <w:highlight w:val="none"/>
              </w:rPr>
              <w:t>≤10.0</w:t>
            </w:r>
          </w:p>
        </w:tc>
        <w:tc>
          <w:tcPr>
            <w:tcW w:w="1295" w:type="pct"/>
            <w:vAlign w:val="center"/>
          </w:tcPr>
          <w:p>
            <w:pPr>
              <w:spacing w:line="360" w:lineRule="auto"/>
              <w:jc w:val="center"/>
              <w:rPr>
                <w:color w:val="auto"/>
                <w:szCs w:val="21"/>
                <w:highlight w:val="none"/>
              </w:rPr>
            </w:pPr>
            <w:r>
              <w:rPr>
                <w:color w:val="auto"/>
                <w:szCs w:val="21"/>
                <w:highlight w:val="none"/>
              </w:rPr>
              <w:t>JG/T 536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434" w:type="pct"/>
            <w:vMerge w:val="restart"/>
            <w:vAlign w:val="center"/>
          </w:tcPr>
          <w:p>
            <w:pPr>
              <w:pStyle w:val="2"/>
              <w:ind w:firstLine="0"/>
              <w:rPr>
                <w:color w:val="auto"/>
                <w:highlight w:val="none"/>
              </w:rPr>
            </w:pPr>
            <w:r>
              <w:rPr>
                <w:color w:val="auto"/>
                <w:highlight w:val="none"/>
              </w:rPr>
              <w:t>放射性</w:t>
            </w:r>
          </w:p>
        </w:tc>
        <w:tc>
          <w:tcPr>
            <w:tcW w:w="1752" w:type="pct"/>
            <w:vAlign w:val="center"/>
          </w:tcPr>
          <w:p>
            <w:pPr>
              <w:pStyle w:val="2"/>
              <w:ind w:firstLine="0"/>
              <w:rPr>
                <w:color w:val="auto"/>
                <w:highlight w:val="none"/>
              </w:rPr>
            </w:pPr>
            <w:r>
              <w:rPr>
                <w:color w:val="auto"/>
                <w:highlight w:val="none"/>
              </w:rPr>
              <w:t>内照射指数I</w:t>
            </w:r>
            <w:r>
              <w:rPr>
                <w:i/>
                <w:color w:val="auto"/>
                <w:highlight w:val="none"/>
                <w:vertAlign w:val="subscript"/>
              </w:rPr>
              <w:t>R</w:t>
            </w:r>
          </w:p>
        </w:tc>
        <w:tc>
          <w:tcPr>
            <w:tcW w:w="1516" w:type="pct"/>
            <w:vAlign w:val="center"/>
          </w:tcPr>
          <w:p>
            <w:pPr>
              <w:spacing w:line="360" w:lineRule="auto"/>
              <w:jc w:val="center"/>
              <w:rPr>
                <w:color w:val="auto"/>
                <w:szCs w:val="21"/>
                <w:highlight w:val="none"/>
              </w:rPr>
            </w:pPr>
            <w:r>
              <w:rPr>
                <w:color w:val="auto"/>
                <w:szCs w:val="21"/>
                <w:highlight w:val="none"/>
              </w:rPr>
              <w:t>≤1.0</w:t>
            </w:r>
          </w:p>
        </w:tc>
        <w:tc>
          <w:tcPr>
            <w:tcW w:w="1295" w:type="pct"/>
            <w:vMerge w:val="restart"/>
            <w:vAlign w:val="center"/>
          </w:tcPr>
          <w:p>
            <w:pPr>
              <w:spacing w:line="360" w:lineRule="auto"/>
              <w:jc w:val="center"/>
              <w:rPr>
                <w:color w:val="auto"/>
                <w:szCs w:val="21"/>
                <w:highlight w:val="none"/>
              </w:rPr>
            </w:pPr>
            <w:r>
              <w:rPr>
                <w:color w:val="auto"/>
                <w:szCs w:val="21"/>
                <w:highlight w:val="none"/>
              </w:rPr>
              <w:t xml:space="preserve">GB 6566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34" w:type="pct"/>
            <w:vMerge w:val="continue"/>
            <w:vAlign w:val="center"/>
          </w:tcPr>
          <w:p>
            <w:pPr>
              <w:spacing w:line="360" w:lineRule="auto"/>
              <w:jc w:val="center"/>
              <w:rPr>
                <w:color w:val="auto"/>
                <w:szCs w:val="21"/>
                <w:highlight w:val="none"/>
              </w:rPr>
            </w:pPr>
          </w:p>
        </w:tc>
        <w:tc>
          <w:tcPr>
            <w:tcW w:w="1752" w:type="pct"/>
            <w:vAlign w:val="center"/>
          </w:tcPr>
          <w:p>
            <w:pPr>
              <w:pStyle w:val="2"/>
              <w:ind w:firstLine="0"/>
              <w:rPr>
                <w:color w:val="auto"/>
                <w:highlight w:val="none"/>
              </w:rPr>
            </w:pPr>
            <w:r>
              <w:rPr>
                <w:color w:val="auto"/>
                <w:highlight w:val="none"/>
              </w:rPr>
              <w:t>外照射指数I</w:t>
            </w:r>
            <w:r>
              <w:rPr>
                <w:i/>
                <w:color w:val="auto"/>
                <w:highlight w:val="none"/>
                <w:vertAlign w:val="subscript"/>
              </w:rPr>
              <w:t>γ</w:t>
            </w:r>
          </w:p>
        </w:tc>
        <w:tc>
          <w:tcPr>
            <w:tcW w:w="1516" w:type="pct"/>
            <w:vAlign w:val="center"/>
          </w:tcPr>
          <w:p>
            <w:pPr>
              <w:spacing w:line="360" w:lineRule="auto"/>
              <w:jc w:val="center"/>
              <w:rPr>
                <w:color w:val="auto"/>
                <w:szCs w:val="21"/>
                <w:highlight w:val="none"/>
              </w:rPr>
            </w:pPr>
            <w:r>
              <w:rPr>
                <w:color w:val="auto"/>
                <w:szCs w:val="21"/>
                <w:highlight w:val="none"/>
              </w:rPr>
              <w:t>≤1.3</w:t>
            </w:r>
          </w:p>
        </w:tc>
        <w:tc>
          <w:tcPr>
            <w:tcW w:w="1295" w:type="pct"/>
            <w:vMerge w:val="continue"/>
            <w:vAlign w:val="center"/>
          </w:tcPr>
          <w:p>
            <w:pPr>
              <w:spacing w:line="360" w:lineRule="auto"/>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2187" w:type="pct"/>
            <w:gridSpan w:val="2"/>
            <w:vAlign w:val="center"/>
          </w:tcPr>
          <w:p>
            <w:pPr>
              <w:spacing w:line="360" w:lineRule="auto"/>
              <w:jc w:val="center"/>
              <w:rPr>
                <w:color w:val="auto"/>
                <w:szCs w:val="21"/>
                <w:highlight w:val="none"/>
              </w:rPr>
            </w:pPr>
            <w:r>
              <w:rPr>
                <w:color w:val="auto"/>
                <w:szCs w:val="21"/>
                <w:highlight w:val="none"/>
              </w:rPr>
              <w:t>燃烧性能</w:t>
            </w:r>
          </w:p>
        </w:tc>
        <w:tc>
          <w:tcPr>
            <w:tcW w:w="1516" w:type="pct"/>
            <w:vAlign w:val="center"/>
          </w:tcPr>
          <w:p>
            <w:pPr>
              <w:spacing w:line="360" w:lineRule="auto"/>
              <w:jc w:val="center"/>
              <w:rPr>
                <w:color w:val="auto"/>
                <w:szCs w:val="21"/>
                <w:highlight w:val="none"/>
              </w:rPr>
            </w:pPr>
            <w:r>
              <w:rPr>
                <w:color w:val="auto"/>
                <w:szCs w:val="21"/>
                <w:highlight w:val="none"/>
              </w:rPr>
              <w:t>A(A2)级</w:t>
            </w:r>
          </w:p>
        </w:tc>
        <w:tc>
          <w:tcPr>
            <w:tcW w:w="1295" w:type="pct"/>
            <w:vAlign w:val="center"/>
          </w:tcPr>
          <w:p>
            <w:pPr>
              <w:spacing w:line="360" w:lineRule="auto"/>
              <w:jc w:val="center"/>
              <w:rPr>
                <w:color w:val="auto"/>
                <w:szCs w:val="21"/>
                <w:highlight w:val="none"/>
              </w:rPr>
            </w:pPr>
            <w:r>
              <w:rPr>
                <w:color w:val="auto"/>
                <w:szCs w:val="21"/>
                <w:highlight w:val="none"/>
              </w:rPr>
              <w:t>GB 8624</w:t>
            </w:r>
          </w:p>
        </w:tc>
      </w:tr>
    </w:tbl>
    <w:p>
      <w:pPr>
        <w:pStyle w:val="54"/>
        <w:ind w:firstLine="0" w:firstLineChars="0"/>
        <w:jc w:val="left"/>
        <w:rPr>
          <w:rFonts w:ascii="Times New Roman"/>
          <w:spacing w:val="-2"/>
          <w:sz w:val="18"/>
          <w:szCs w:val="18"/>
        </w:rPr>
      </w:pPr>
    </w:p>
    <w:p>
      <w:pPr>
        <w:widowControl/>
        <w:spacing w:line="360" w:lineRule="auto"/>
        <w:jc w:val="left"/>
        <w:outlineLvl w:val="2"/>
        <w:rPr>
          <w:rFonts w:hint="eastAsia"/>
          <w:color w:val="auto"/>
          <w:sz w:val="24"/>
          <w:highlight w:val="none"/>
          <w:lang w:val="en-US" w:eastAsia="zh-CN"/>
        </w:rPr>
      </w:pPr>
      <w:r>
        <w:rPr>
          <w:rFonts w:hint="eastAsia"/>
          <w:color w:val="auto"/>
          <w:sz w:val="24"/>
          <w:highlight w:val="none"/>
          <w:lang w:val="en-US" w:eastAsia="zh-CN"/>
        </w:rPr>
        <w:t>4.3.7 内保温复合板用纳米气凝胶复合绝热板的性能除应符合标表4.3.7的规定外，还应符合现行国家标准《纳米孔气凝胶复合绝热制品》GB/T 34336的规定。</w:t>
      </w:r>
    </w:p>
    <w:p>
      <w:pPr>
        <w:numPr>
          <w:ilvl w:val="0"/>
          <w:numId w:val="0"/>
        </w:numPr>
        <w:spacing w:line="560" w:lineRule="exact"/>
        <w:jc w:val="center"/>
        <w:rPr>
          <w:rFonts w:hint="default" w:ascii="Calibri" w:hAnsi="Calibri" w:eastAsia="宋体" w:cs="Times New Roman"/>
          <w:b/>
          <w:color w:val="000000" w:themeColor="text1"/>
          <w:kern w:val="2"/>
          <w:sz w:val="21"/>
          <w:szCs w:val="21"/>
          <w:highlight w:val="none"/>
          <w:lang w:val="en-US" w:eastAsia="zh-CN" w:bidi="en-US"/>
          <w14:textFill>
            <w14:solidFill>
              <w14:schemeClr w14:val="tx1"/>
            </w14:solidFill>
          </w14:textFill>
        </w:rPr>
      </w:pPr>
      <w:r>
        <w:rPr>
          <w:rFonts w:hint="default" w:eastAsia="宋体" w:cs="Times New Roman"/>
          <w:b/>
          <w:color w:val="000000" w:themeColor="text1"/>
          <w:sz w:val="21"/>
          <w:szCs w:val="21"/>
          <w:highlight w:val="none"/>
          <w:lang w:bidi="en-US"/>
          <w14:textFill>
            <w14:solidFill>
              <w14:schemeClr w14:val="tx1"/>
            </w14:solidFill>
          </w14:textFill>
        </w:rPr>
        <w:t>表</w:t>
      </w:r>
      <w:r>
        <w:rPr>
          <w:rFonts w:hint="default" w:ascii="Calibri" w:eastAsia="宋体" w:cs="Times New Roman"/>
          <w:b/>
          <w:color w:val="000000" w:themeColor="text1"/>
          <w:sz w:val="21"/>
          <w:szCs w:val="21"/>
          <w:highlight w:val="none"/>
          <w:lang w:val="en-US" w:eastAsia="zh-CN" w:bidi="en-US"/>
          <w14:textFill>
            <w14:solidFill>
              <w14:schemeClr w14:val="tx1"/>
            </w14:solidFill>
          </w14:textFill>
        </w:rPr>
        <w:t>4.3.</w:t>
      </w:r>
      <w:r>
        <w:rPr>
          <w:rFonts w:hint="eastAsia" w:cs="Times New Roman"/>
          <w:b/>
          <w:color w:val="000000" w:themeColor="text1"/>
          <w:sz w:val="21"/>
          <w:szCs w:val="21"/>
          <w:highlight w:val="none"/>
          <w:lang w:val="en-US" w:eastAsia="zh-CN" w:bidi="en-US"/>
          <w14:textFill>
            <w14:solidFill>
              <w14:schemeClr w14:val="tx1"/>
            </w14:solidFill>
          </w14:textFill>
        </w:rPr>
        <w:t>7</w:t>
      </w:r>
      <w:r>
        <w:rPr>
          <w:rFonts w:hint="default" w:ascii="Calibri" w:eastAsia="宋体" w:cs="Times New Roman"/>
          <w:b/>
          <w:color w:val="000000" w:themeColor="text1"/>
          <w:sz w:val="21"/>
          <w:szCs w:val="21"/>
          <w:highlight w:val="none"/>
          <w:lang w:bidi="en-US"/>
          <w14:textFill>
            <w14:solidFill>
              <w14:schemeClr w14:val="tx1"/>
            </w14:solidFill>
          </w14:textFill>
        </w:rPr>
        <w:t>纳米孔气凝胶绝热板的主能指标</w:t>
      </w:r>
    </w:p>
    <w:tbl>
      <w:tblPr>
        <w:tblStyle w:val="2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35"/>
        <w:gridCol w:w="1260"/>
        <w:gridCol w:w="1820"/>
        <w:gridCol w:w="1827"/>
        <w:gridCol w:w="28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535" w:type="dxa"/>
            <w:vAlign w:val="center"/>
          </w:tcPr>
          <w:p>
            <w:pPr>
              <w:pStyle w:val="54"/>
              <w:ind w:firstLine="0" w:firstLineChars="0"/>
              <w:jc w:val="center"/>
              <w:rPr>
                <w:rFonts w:ascii="Times New Roman"/>
                <w:sz w:val="18"/>
                <w:szCs w:val="18"/>
              </w:rPr>
            </w:pPr>
            <w:r>
              <w:rPr>
                <w:rFonts w:hint="eastAsia" w:ascii="Times New Roman"/>
                <w:sz w:val="18"/>
                <w:szCs w:val="18"/>
              </w:rPr>
              <w:t>序号</w:t>
            </w:r>
          </w:p>
        </w:tc>
        <w:tc>
          <w:tcPr>
            <w:tcW w:w="3080" w:type="dxa"/>
            <w:gridSpan w:val="2"/>
            <w:vAlign w:val="center"/>
          </w:tcPr>
          <w:p>
            <w:pPr>
              <w:pStyle w:val="54"/>
              <w:ind w:firstLine="0" w:firstLineChars="0"/>
              <w:jc w:val="center"/>
              <w:rPr>
                <w:rFonts w:ascii="Times New Roman"/>
                <w:sz w:val="18"/>
                <w:szCs w:val="18"/>
              </w:rPr>
            </w:pPr>
            <w:r>
              <w:rPr>
                <w:rFonts w:hint="eastAsia" w:ascii="Times New Roman"/>
                <w:sz w:val="18"/>
                <w:szCs w:val="18"/>
              </w:rPr>
              <w:t>项目名称</w:t>
            </w:r>
          </w:p>
        </w:tc>
        <w:tc>
          <w:tcPr>
            <w:tcW w:w="1827" w:type="dxa"/>
            <w:vAlign w:val="center"/>
          </w:tcPr>
          <w:p>
            <w:pPr>
              <w:pStyle w:val="54"/>
              <w:ind w:firstLine="0" w:firstLineChars="0"/>
              <w:jc w:val="center"/>
              <w:rPr>
                <w:rFonts w:ascii="Times New Roman"/>
                <w:sz w:val="18"/>
                <w:szCs w:val="18"/>
              </w:rPr>
            </w:pPr>
            <w:r>
              <w:rPr>
                <w:rFonts w:hint="eastAsia" w:ascii="Times New Roman"/>
                <w:sz w:val="18"/>
                <w:szCs w:val="18"/>
              </w:rPr>
              <w:t>性能指标</w:t>
            </w:r>
          </w:p>
        </w:tc>
        <w:tc>
          <w:tcPr>
            <w:tcW w:w="2800" w:type="dxa"/>
            <w:vAlign w:val="center"/>
          </w:tcPr>
          <w:p>
            <w:pPr>
              <w:pStyle w:val="54"/>
              <w:ind w:firstLine="0" w:firstLineChars="0"/>
              <w:jc w:val="center"/>
              <w:rPr>
                <w:rFonts w:ascii="Times New Roman"/>
                <w:sz w:val="18"/>
                <w:szCs w:val="18"/>
              </w:rPr>
            </w:pPr>
            <w:r>
              <w:rPr>
                <w:rFonts w:hint="eastAsia" w:ascii="Times New Roman"/>
                <w:sz w:val="18"/>
                <w:szCs w:val="18"/>
              </w:rPr>
              <w:t>试验方法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535" w:type="dxa"/>
            <w:vAlign w:val="center"/>
          </w:tcPr>
          <w:p>
            <w:pPr>
              <w:pStyle w:val="54"/>
              <w:ind w:firstLine="0" w:firstLineChars="0"/>
              <w:jc w:val="center"/>
              <w:rPr>
                <w:rFonts w:hint="eastAsia" w:ascii="Times New Roman" w:eastAsia="宋体"/>
                <w:sz w:val="18"/>
                <w:szCs w:val="18"/>
                <w:lang w:eastAsia="zh-CN"/>
              </w:rPr>
            </w:pPr>
            <w:r>
              <w:rPr>
                <w:rFonts w:hint="eastAsia" w:ascii="Times New Roman"/>
                <w:sz w:val="18"/>
                <w:szCs w:val="18"/>
                <w:lang w:val="en-US" w:eastAsia="zh-CN"/>
              </w:rPr>
              <w:t>1</w:t>
            </w:r>
          </w:p>
        </w:tc>
        <w:tc>
          <w:tcPr>
            <w:tcW w:w="3080" w:type="dxa"/>
            <w:gridSpan w:val="2"/>
            <w:vAlign w:val="center"/>
          </w:tcPr>
          <w:p>
            <w:pPr>
              <w:pStyle w:val="54"/>
              <w:ind w:firstLine="0" w:firstLineChars="0"/>
              <w:jc w:val="center"/>
              <w:rPr>
                <w:rFonts w:ascii="Times New Roman"/>
                <w:sz w:val="18"/>
                <w:szCs w:val="18"/>
              </w:rPr>
            </w:pPr>
            <w:r>
              <w:rPr>
                <w:rFonts w:hint="eastAsia" w:ascii="Times New Roman"/>
                <w:sz w:val="18"/>
                <w:szCs w:val="18"/>
                <w:u w:val="none"/>
              </w:rPr>
              <w:t>体积密度</w:t>
            </w:r>
            <w:r>
              <w:rPr>
                <w:rFonts w:ascii="Times New Roman"/>
                <w:sz w:val="18"/>
                <w:szCs w:val="18"/>
                <w:u w:val="none"/>
              </w:rPr>
              <w:t>(kg/ m</w:t>
            </w:r>
            <w:r>
              <w:rPr>
                <w:rFonts w:ascii="Times New Roman"/>
                <w:sz w:val="18"/>
                <w:szCs w:val="18"/>
                <w:u w:val="none"/>
                <w:vertAlign w:val="superscript"/>
              </w:rPr>
              <w:t>3</w:t>
            </w:r>
            <w:r>
              <w:rPr>
                <w:rFonts w:ascii="Times New Roman"/>
                <w:sz w:val="18"/>
                <w:szCs w:val="18"/>
                <w:u w:val="none"/>
              </w:rPr>
              <w:t>)</w:t>
            </w:r>
          </w:p>
        </w:tc>
        <w:tc>
          <w:tcPr>
            <w:tcW w:w="1827" w:type="dxa"/>
            <w:vAlign w:val="center"/>
          </w:tcPr>
          <w:p>
            <w:pPr>
              <w:pStyle w:val="54"/>
              <w:ind w:firstLine="0" w:firstLineChars="0"/>
              <w:jc w:val="center"/>
              <w:rPr>
                <w:rFonts w:ascii="Times New Roman"/>
                <w:sz w:val="18"/>
                <w:szCs w:val="18"/>
              </w:rPr>
            </w:pPr>
            <w:r>
              <w:rPr>
                <w:rFonts w:ascii="Times New Roman"/>
                <w:sz w:val="18"/>
                <w:szCs w:val="18"/>
              </w:rPr>
              <w:t>160 ± 20 %</w:t>
            </w:r>
          </w:p>
        </w:tc>
        <w:tc>
          <w:tcPr>
            <w:tcW w:w="2800" w:type="dxa"/>
          </w:tcPr>
          <w:p>
            <w:pPr>
              <w:pStyle w:val="54"/>
              <w:ind w:firstLine="0" w:firstLineChars="0"/>
              <w:jc w:val="center"/>
              <w:rPr>
                <w:rFonts w:ascii="Times New Roman"/>
                <w:sz w:val="18"/>
                <w:szCs w:val="18"/>
              </w:rPr>
            </w:pPr>
            <w:r>
              <w:rPr>
                <w:rFonts w:ascii="Times New Roman"/>
                <w:spacing w:val="-5"/>
                <w:sz w:val="18"/>
                <w:szCs w:val="18"/>
              </w:rPr>
              <w:t>GB</w:t>
            </w:r>
            <w:r>
              <w:rPr>
                <w:rFonts w:ascii="Times New Roman"/>
                <w:spacing w:val="-10"/>
                <w:sz w:val="18"/>
                <w:szCs w:val="18"/>
              </w:rPr>
              <w:t>/</w:t>
            </w:r>
            <w:r>
              <w:rPr>
                <w:rFonts w:ascii="Times New Roman"/>
                <w:spacing w:val="-5"/>
                <w:sz w:val="18"/>
                <w:szCs w:val="18"/>
              </w:rPr>
              <w:t xml:space="preserve">T </w:t>
            </w:r>
            <w:r>
              <w:rPr>
                <w:rFonts w:ascii="Times New Roman"/>
                <w:spacing w:val="-10"/>
                <w:sz w:val="18"/>
                <w:szCs w:val="18"/>
              </w:rPr>
              <w:t>3</w:t>
            </w:r>
            <w:r>
              <w:rPr>
                <w:rFonts w:ascii="Times New Roman"/>
                <w:spacing w:val="-7"/>
                <w:sz w:val="18"/>
                <w:szCs w:val="18"/>
              </w:rPr>
              <w:t>4</w:t>
            </w:r>
            <w:r>
              <w:rPr>
                <w:rFonts w:ascii="Times New Roman"/>
                <w:spacing w:val="-5"/>
                <w:sz w:val="18"/>
                <w:szCs w:val="18"/>
              </w:rPr>
              <w:t>336附录A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535" w:type="dxa"/>
            <w:vAlign w:val="center"/>
          </w:tcPr>
          <w:p>
            <w:pPr>
              <w:pStyle w:val="54"/>
              <w:ind w:firstLine="0" w:firstLineChars="0"/>
              <w:jc w:val="center"/>
              <w:rPr>
                <w:rFonts w:hint="eastAsia" w:ascii="Times New Roman" w:eastAsia="宋体"/>
                <w:sz w:val="18"/>
                <w:szCs w:val="18"/>
                <w:lang w:eastAsia="zh-CN"/>
              </w:rPr>
            </w:pPr>
            <w:r>
              <w:rPr>
                <w:rFonts w:hint="eastAsia" w:ascii="Times New Roman"/>
                <w:sz w:val="18"/>
                <w:szCs w:val="18"/>
                <w:lang w:val="en-US" w:eastAsia="zh-CN"/>
              </w:rPr>
              <w:t>2</w:t>
            </w:r>
          </w:p>
        </w:tc>
        <w:tc>
          <w:tcPr>
            <w:tcW w:w="3080" w:type="dxa"/>
            <w:gridSpan w:val="2"/>
            <w:vAlign w:val="center"/>
          </w:tcPr>
          <w:p>
            <w:pPr>
              <w:pStyle w:val="54"/>
              <w:ind w:firstLine="0" w:firstLineChars="0"/>
              <w:jc w:val="center"/>
              <w:rPr>
                <w:rFonts w:ascii="Times New Roman"/>
                <w:sz w:val="18"/>
                <w:szCs w:val="18"/>
              </w:rPr>
            </w:pPr>
            <w:r>
              <w:rPr>
                <w:rFonts w:hint="eastAsia" w:ascii="Times New Roman"/>
                <w:sz w:val="18"/>
                <w:szCs w:val="18"/>
              </w:rPr>
              <w:t>导热系数</w:t>
            </w:r>
            <w:r>
              <w:rPr>
                <w:rFonts w:ascii="Times New Roman"/>
                <w:spacing w:val="-6"/>
                <w:sz w:val="18"/>
                <w:szCs w:val="18"/>
              </w:rPr>
              <w:t>[W/(m·K) ]</w:t>
            </w:r>
          </w:p>
        </w:tc>
        <w:tc>
          <w:tcPr>
            <w:tcW w:w="1827" w:type="dxa"/>
            <w:vAlign w:val="center"/>
          </w:tcPr>
          <w:p>
            <w:pPr>
              <w:pStyle w:val="54"/>
              <w:ind w:firstLine="0" w:firstLineChars="0"/>
              <w:jc w:val="center"/>
              <w:rPr>
                <w:rFonts w:hint="default" w:ascii="Times New Roman"/>
                <w:sz w:val="18"/>
                <w:szCs w:val="18"/>
                <w:lang w:val="en-US" w:eastAsia="zh-CN"/>
              </w:rPr>
            </w:pPr>
            <w:r>
              <w:rPr>
                <w:rFonts w:ascii="Times New Roman"/>
                <w:sz w:val="18"/>
                <w:szCs w:val="18"/>
              </w:rPr>
              <w:t>≤ 0.0</w:t>
            </w:r>
            <w:r>
              <w:rPr>
                <w:rFonts w:hint="eastAsia" w:ascii="Times New Roman"/>
                <w:sz w:val="18"/>
                <w:szCs w:val="18"/>
                <w:lang w:val="en-US" w:eastAsia="zh-CN"/>
              </w:rPr>
              <w:t>19</w:t>
            </w:r>
          </w:p>
        </w:tc>
        <w:tc>
          <w:tcPr>
            <w:tcW w:w="2800" w:type="dxa"/>
          </w:tcPr>
          <w:p>
            <w:pPr>
              <w:pStyle w:val="54"/>
              <w:ind w:firstLine="0" w:firstLineChars="0"/>
              <w:jc w:val="center"/>
              <w:rPr>
                <w:rFonts w:ascii="Times New Roman"/>
                <w:sz w:val="18"/>
                <w:szCs w:val="18"/>
              </w:rPr>
            </w:pPr>
            <w:r>
              <w:rPr>
                <w:rFonts w:ascii="Times New Roman"/>
                <w:sz w:val="18"/>
                <w:szCs w:val="18"/>
              </w:rPr>
              <w:t>GB</w:t>
            </w:r>
            <w:r>
              <w:rPr>
                <w:rFonts w:ascii="Times New Roman"/>
                <w:spacing w:val="-1"/>
                <w:sz w:val="18"/>
                <w:szCs w:val="18"/>
              </w:rPr>
              <w:t>/</w:t>
            </w:r>
            <w:r>
              <w:rPr>
                <w:rFonts w:ascii="Times New Roman"/>
                <w:sz w:val="18"/>
                <w:szCs w:val="18"/>
              </w:rPr>
              <w:t xml:space="preserve">T </w:t>
            </w:r>
            <w:r>
              <w:rPr>
                <w:rFonts w:ascii="Times New Roman"/>
                <w:spacing w:val="-1"/>
                <w:sz w:val="18"/>
                <w:szCs w:val="18"/>
              </w:rPr>
              <w:t>10294</w:t>
            </w:r>
            <w:r>
              <w:rPr>
                <w:rFonts w:ascii="Times New Roman"/>
                <w:sz w:val="18"/>
                <w:szCs w:val="18"/>
              </w:rPr>
              <w:t>(25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535" w:type="dxa"/>
            <w:vAlign w:val="center"/>
          </w:tcPr>
          <w:p>
            <w:pPr>
              <w:pStyle w:val="54"/>
              <w:ind w:firstLine="0" w:firstLineChars="0"/>
              <w:jc w:val="center"/>
              <w:rPr>
                <w:rFonts w:hint="eastAsia" w:ascii="Times New Roman" w:eastAsia="宋体"/>
                <w:sz w:val="18"/>
                <w:szCs w:val="18"/>
                <w:lang w:eastAsia="zh-CN"/>
              </w:rPr>
            </w:pPr>
            <w:r>
              <w:rPr>
                <w:rFonts w:hint="eastAsia" w:ascii="Times New Roman"/>
                <w:sz w:val="18"/>
                <w:szCs w:val="18"/>
                <w:lang w:val="en-US" w:eastAsia="zh-CN"/>
              </w:rPr>
              <w:t>3</w:t>
            </w:r>
          </w:p>
        </w:tc>
        <w:tc>
          <w:tcPr>
            <w:tcW w:w="3080" w:type="dxa"/>
            <w:gridSpan w:val="2"/>
            <w:vAlign w:val="center"/>
          </w:tcPr>
          <w:p>
            <w:pPr>
              <w:pStyle w:val="54"/>
              <w:ind w:firstLine="0" w:firstLineChars="0"/>
              <w:jc w:val="center"/>
              <w:rPr>
                <w:rFonts w:ascii="Times New Roman"/>
                <w:sz w:val="18"/>
                <w:szCs w:val="18"/>
              </w:rPr>
            </w:pPr>
            <w:r>
              <w:rPr>
                <w:rFonts w:hint="eastAsia" w:ascii="Times New Roman"/>
                <w:sz w:val="18"/>
                <w:szCs w:val="18"/>
              </w:rPr>
              <w:t>振动质量损失率</w:t>
            </w:r>
            <w:r>
              <w:rPr>
                <w:rFonts w:hint="eastAsia"/>
                <w:color w:val="auto"/>
                <w:szCs w:val="21"/>
                <w:highlight w:val="none"/>
                <w:lang w:eastAsia="zh-CN"/>
              </w:rPr>
              <w:t>（</w:t>
            </w:r>
            <w:r>
              <w:rPr>
                <w:color w:val="auto"/>
                <w:szCs w:val="21"/>
                <w:highlight w:val="none"/>
              </w:rPr>
              <w:t>%</w:t>
            </w:r>
            <w:r>
              <w:rPr>
                <w:rFonts w:hint="eastAsia"/>
                <w:color w:val="auto"/>
                <w:szCs w:val="21"/>
                <w:highlight w:val="none"/>
                <w:lang w:eastAsia="zh-CN"/>
              </w:rPr>
              <w:t>）</w:t>
            </w:r>
          </w:p>
        </w:tc>
        <w:tc>
          <w:tcPr>
            <w:tcW w:w="1827" w:type="dxa"/>
          </w:tcPr>
          <w:p>
            <w:pPr>
              <w:pStyle w:val="54"/>
              <w:ind w:firstLine="0" w:firstLineChars="0"/>
              <w:jc w:val="center"/>
              <w:rPr>
                <w:rFonts w:hint="default" w:ascii="Times New Roman"/>
                <w:sz w:val="18"/>
                <w:szCs w:val="18"/>
                <w:lang w:val="en-US" w:eastAsia="zh-CN"/>
              </w:rPr>
            </w:pPr>
            <w:r>
              <w:rPr>
                <w:rFonts w:ascii="Times New Roman"/>
                <w:sz w:val="18"/>
                <w:szCs w:val="18"/>
              </w:rPr>
              <w:t xml:space="preserve">≤ </w:t>
            </w:r>
            <w:r>
              <w:rPr>
                <w:rFonts w:hint="eastAsia" w:ascii="Times New Roman"/>
                <w:sz w:val="18"/>
                <w:szCs w:val="18"/>
                <w:lang w:val="en-US" w:eastAsia="zh-CN"/>
              </w:rPr>
              <w:t>0.4</w:t>
            </w:r>
          </w:p>
        </w:tc>
        <w:tc>
          <w:tcPr>
            <w:tcW w:w="2800" w:type="dxa"/>
          </w:tcPr>
          <w:p>
            <w:pPr>
              <w:pStyle w:val="54"/>
              <w:ind w:firstLine="0" w:firstLineChars="0"/>
              <w:jc w:val="center"/>
              <w:rPr>
                <w:rFonts w:ascii="Times New Roman"/>
                <w:sz w:val="18"/>
                <w:szCs w:val="18"/>
              </w:rPr>
            </w:pPr>
            <w:r>
              <w:rPr>
                <w:rFonts w:ascii="Times New Roman"/>
                <w:spacing w:val="-5"/>
                <w:sz w:val="18"/>
                <w:szCs w:val="18"/>
              </w:rPr>
              <w:t>GB</w:t>
            </w:r>
            <w:r>
              <w:rPr>
                <w:rFonts w:ascii="Times New Roman"/>
                <w:spacing w:val="-10"/>
                <w:sz w:val="18"/>
                <w:szCs w:val="18"/>
              </w:rPr>
              <w:t>/</w:t>
            </w:r>
            <w:r>
              <w:rPr>
                <w:rFonts w:ascii="Times New Roman"/>
                <w:spacing w:val="-5"/>
                <w:sz w:val="18"/>
                <w:szCs w:val="18"/>
              </w:rPr>
              <w:t xml:space="preserve">T </w:t>
            </w:r>
            <w:r>
              <w:rPr>
                <w:rFonts w:ascii="Times New Roman"/>
                <w:spacing w:val="-10"/>
                <w:sz w:val="18"/>
                <w:szCs w:val="18"/>
              </w:rPr>
              <w:t>3</w:t>
            </w:r>
            <w:r>
              <w:rPr>
                <w:rFonts w:ascii="Times New Roman"/>
                <w:spacing w:val="-5"/>
                <w:sz w:val="18"/>
                <w:szCs w:val="18"/>
              </w:rPr>
              <w:t>4336附录B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535" w:type="dxa"/>
            <w:vAlign w:val="center"/>
          </w:tcPr>
          <w:p>
            <w:pPr>
              <w:pStyle w:val="54"/>
              <w:ind w:firstLine="0" w:firstLineChars="0"/>
              <w:jc w:val="center"/>
              <w:rPr>
                <w:rFonts w:hint="eastAsia" w:ascii="Times New Roman" w:eastAsia="宋体"/>
                <w:sz w:val="18"/>
                <w:szCs w:val="18"/>
                <w:lang w:eastAsia="zh-CN"/>
              </w:rPr>
            </w:pPr>
            <w:r>
              <w:rPr>
                <w:rFonts w:hint="eastAsia" w:ascii="Times New Roman"/>
                <w:sz w:val="18"/>
                <w:szCs w:val="18"/>
                <w:lang w:val="en-US" w:eastAsia="zh-CN"/>
              </w:rPr>
              <w:t>4</w:t>
            </w:r>
          </w:p>
        </w:tc>
        <w:tc>
          <w:tcPr>
            <w:tcW w:w="3080" w:type="dxa"/>
            <w:gridSpan w:val="2"/>
            <w:vAlign w:val="center"/>
          </w:tcPr>
          <w:p>
            <w:pPr>
              <w:pStyle w:val="54"/>
              <w:ind w:firstLine="0" w:firstLineChars="0"/>
              <w:jc w:val="center"/>
              <w:rPr>
                <w:rFonts w:ascii="Times New Roman"/>
                <w:sz w:val="18"/>
                <w:szCs w:val="18"/>
              </w:rPr>
            </w:pPr>
            <w:r>
              <w:rPr>
                <w:rFonts w:hint="eastAsia" w:ascii="Times New Roman"/>
                <w:sz w:val="18"/>
                <w:szCs w:val="18"/>
              </w:rPr>
              <w:t>体积吸水率</w:t>
            </w:r>
            <w:r>
              <w:rPr>
                <w:rFonts w:hint="eastAsia"/>
                <w:color w:val="auto"/>
                <w:szCs w:val="21"/>
                <w:highlight w:val="none"/>
                <w:lang w:eastAsia="zh-CN"/>
              </w:rPr>
              <w:t>（</w:t>
            </w:r>
            <w:r>
              <w:rPr>
                <w:color w:val="auto"/>
                <w:szCs w:val="21"/>
                <w:highlight w:val="none"/>
              </w:rPr>
              <w:t>%</w:t>
            </w:r>
            <w:r>
              <w:rPr>
                <w:rFonts w:hint="eastAsia"/>
                <w:color w:val="auto"/>
                <w:szCs w:val="21"/>
                <w:highlight w:val="none"/>
                <w:lang w:eastAsia="zh-CN"/>
              </w:rPr>
              <w:t>）</w:t>
            </w:r>
          </w:p>
        </w:tc>
        <w:tc>
          <w:tcPr>
            <w:tcW w:w="1827" w:type="dxa"/>
          </w:tcPr>
          <w:p>
            <w:pPr>
              <w:pStyle w:val="54"/>
              <w:ind w:firstLine="0" w:firstLineChars="0"/>
              <w:jc w:val="center"/>
              <w:rPr>
                <w:rFonts w:ascii="Times New Roman"/>
                <w:sz w:val="18"/>
                <w:szCs w:val="18"/>
              </w:rPr>
            </w:pPr>
            <w:r>
              <w:rPr>
                <w:rFonts w:ascii="Times New Roman"/>
                <w:sz w:val="18"/>
                <w:szCs w:val="18"/>
              </w:rPr>
              <w:t>≤ 1.0</w:t>
            </w:r>
          </w:p>
        </w:tc>
        <w:tc>
          <w:tcPr>
            <w:tcW w:w="2800" w:type="dxa"/>
          </w:tcPr>
          <w:p>
            <w:pPr>
              <w:pStyle w:val="54"/>
              <w:ind w:firstLine="0" w:firstLineChars="0"/>
              <w:jc w:val="center"/>
              <w:rPr>
                <w:rFonts w:ascii="Times New Roman"/>
                <w:sz w:val="18"/>
                <w:szCs w:val="18"/>
              </w:rPr>
            </w:pPr>
            <w:r>
              <w:rPr>
                <w:rFonts w:ascii="Times New Roman"/>
                <w:sz w:val="18"/>
                <w:szCs w:val="18"/>
              </w:rPr>
              <w:t>GB</w:t>
            </w:r>
            <w:r>
              <w:rPr>
                <w:rFonts w:ascii="Times New Roman"/>
                <w:spacing w:val="-1"/>
                <w:sz w:val="18"/>
                <w:szCs w:val="18"/>
              </w:rPr>
              <w:t>/</w:t>
            </w:r>
            <w:r>
              <w:rPr>
                <w:rFonts w:ascii="Times New Roman"/>
                <w:sz w:val="18"/>
                <w:szCs w:val="18"/>
              </w:rPr>
              <w:t xml:space="preserve">T </w:t>
            </w:r>
            <w:r>
              <w:rPr>
                <w:rFonts w:ascii="Times New Roman"/>
                <w:spacing w:val="-1"/>
                <w:sz w:val="18"/>
                <w:szCs w:val="18"/>
              </w:rPr>
              <w:t>5</w:t>
            </w:r>
            <w:r>
              <w:rPr>
                <w:rFonts w:ascii="Times New Roman"/>
                <w:sz w:val="18"/>
                <w:szCs w:val="18"/>
              </w:rPr>
              <w:t>480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535" w:type="dxa"/>
            <w:vAlign w:val="center"/>
          </w:tcPr>
          <w:p>
            <w:pPr>
              <w:pStyle w:val="54"/>
              <w:ind w:firstLine="0" w:firstLineChars="0"/>
              <w:jc w:val="center"/>
              <w:rPr>
                <w:rFonts w:hint="eastAsia" w:ascii="Times New Roman" w:eastAsia="宋体"/>
                <w:sz w:val="18"/>
                <w:szCs w:val="18"/>
                <w:lang w:eastAsia="zh-CN"/>
              </w:rPr>
            </w:pPr>
            <w:r>
              <w:rPr>
                <w:rFonts w:hint="eastAsia" w:ascii="Times New Roman"/>
                <w:sz w:val="18"/>
                <w:szCs w:val="18"/>
                <w:lang w:val="en-US" w:eastAsia="zh-CN"/>
              </w:rPr>
              <w:t>5</w:t>
            </w:r>
          </w:p>
        </w:tc>
        <w:tc>
          <w:tcPr>
            <w:tcW w:w="3080" w:type="dxa"/>
            <w:gridSpan w:val="2"/>
            <w:vAlign w:val="center"/>
          </w:tcPr>
          <w:p>
            <w:pPr>
              <w:pStyle w:val="54"/>
              <w:ind w:firstLine="0" w:firstLineChars="0"/>
              <w:jc w:val="center"/>
              <w:rPr>
                <w:rFonts w:ascii="Times New Roman"/>
                <w:sz w:val="18"/>
                <w:szCs w:val="18"/>
              </w:rPr>
            </w:pPr>
            <w:r>
              <w:rPr>
                <w:rFonts w:hint="eastAsia" w:ascii="Times New Roman"/>
                <w:sz w:val="18"/>
                <w:szCs w:val="18"/>
              </w:rPr>
              <w:t>压缩强度</w:t>
            </w:r>
            <w:r>
              <w:rPr>
                <w:rFonts w:hint="eastAsia" w:ascii="Times New Roman"/>
                <w:sz w:val="18"/>
                <w:szCs w:val="18"/>
                <w:lang w:eastAsia="zh-CN"/>
              </w:rPr>
              <w:t>（</w:t>
            </w:r>
            <w:r>
              <w:rPr>
                <w:rFonts w:ascii="Times New Roman"/>
                <w:sz w:val="18"/>
                <w:szCs w:val="18"/>
              </w:rPr>
              <w:t>k</w:t>
            </w:r>
            <w:r>
              <w:rPr>
                <w:rFonts w:hint="eastAsia" w:ascii="Times New Roman"/>
                <w:sz w:val="18"/>
                <w:szCs w:val="18"/>
              </w:rPr>
              <w:t>Pa</w:t>
            </w:r>
            <w:r>
              <w:rPr>
                <w:rFonts w:hint="eastAsia" w:ascii="Times New Roman"/>
                <w:sz w:val="18"/>
                <w:szCs w:val="18"/>
                <w:lang w:eastAsia="zh-CN"/>
              </w:rPr>
              <w:t>）</w:t>
            </w:r>
          </w:p>
        </w:tc>
        <w:tc>
          <w:tcPr>
            <w:tcW w:w="1827" w:type="dxa"/>
          </w:tcPr>
          <w:p>
            <w:pPr>
              <w:pStyle w:val="54"/>
              <w:ind w:firstLine="0" w:firstLineChars="0"/>
              <w:jc w:val="center"/>
              <w:rPr>
                <w:rFonts w:hint="default" w:ascii="Times New Roman"/>
                <w:sz w:val="18"/>
                <w:szCs w:val="18"/>
                <w:lang w:val="en-US" w:eastAsia="zh-CN"/>
              </w:rPr>
            </w:pPr>
            <w:r>
              <w:rPr>
                <w:rFonts w:ascii="Times New Roman"/>
                <w:sz w:val="18"/>
                <w:szCs w:val="18"/>
              </w:rPr>
              <w:t xml:space="preserve">≥ </w:t>
            </w:r>
            <w:r>
              <w:rPr>
                <w:rFonts w:hint="eastAsia" w:ascii="Times New Roman"/>
                <w:sz w:val="18"/>
                <w:szCs w:val="18"/>
                <w:lang w:val="en-US" w:eastAsia="zh-CN"/>
              </w:rPr>
              <w:t>200</w:t>
            </w:r>
          </w:p>
        </w:tc>
        <w:tc>
          <w:tcPr>
            <w:tcW w:w="2800" w:type="dxa"/>
          </w:tcPr>
          <w:p>
            <w:pPr>
              <w:pStyle w:val="54"/>
              <w:ind w:firstLine="0" w:firstLineChars="0"/>
              <w:jc w:val="center"/>
              <w:rPr>
                <w:rFonts w:ascii="Times New Roman"/>
                <w:sz w:val="18"/>
                <w:szCs w:val="18"/>
              </w:rPr>
            </w:pPr>
            <w:r>
              <w:rPr>
                <w:rFonts w:ascii="Times New Roman"/>
                <w:spacing w:val="-5"/>
                <w:sz w:val="18"/>
                <w:szCs w:val="18"/>
              </w:rPr>
              <w:t>GB</w:t>
            </w:r>
            <w:r>
              <w:rPr>
                <w:rFonts w:ascii="Times New Roman"/>
                <w:spacing w:val="-10"/>
                <w:sz w:val="18"/>
                <w:szCs w:val="18"/>
              </w:rPr>
              <w:t>/</w:t>
            </w:r>
            <w:r>
              <w:rPr>
                <w:rFonts w:ascii="Times New Roman"/>
                <w:spacing w:val="-5"/>
                <w:sz w:val="18"/>
                <w:szCs w:val="18"/>
              </w:rPr>
              <w:t xml:space="preserve">T </w:t>
            </w:r>
            <w:r>
              <w:rPr>
                <w:rFonts w:ascii="Times New Roman"/>
                <w:spacing w:val="-7"/>
                <w:sz w:val="18"/>
                <w:szCs w:val="18"/>
              </w:rPr>
              <w:t>3</w:t>
            </w:r>
            <w:r>
              <w:rPr>
                <w:rFonts w:ascii="Times New Roman"/>
                <w:spacing w:val="-5"/>
                <w:sz w:val="18"/>
                <w:szCs w:val="18"/>
              </w:rPr>
              <w:t>4336附录C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535" w:type="dxa"/>
            <w:vAlign w:val="center"/>
          </w:tcPr>
          <w:p>
            <w:pPr>
              <w:pStyle w:val="54"/>
              <w:ind w:firstLine="0" w:firstLineChars="0"/>
              <w:jc w:val="center"/>
              <w:rPr>
                <w:rFonts w:hint="eastAsia" w:ascii="Times New Roman" w:eastAsia="宋体"/>
                <w:sz w:val="18"/>
                <w:szCs w:val="18"/>
                <w:lang w:eastAsia="zh-CN"/>
              </w:rPr>
            </w:pPr>
            <w:r>
              <w:rPr>
                <w:rFonts w:hint="eastAsia" w:ascii="Times New Roman"/>
                <w:sz w:val="18"/>
                <w:szCs w:val="18"/>
                <w:lang w:val="en-US" w:eastAsia="zh-CN"/>
              </w:rPr>
              <w:t>6</w:t>
            </w:r>
          </w:p>
        </w:tc>
        <w:tc>
          <w:tcPr>
            <w:tcW w:w="3080" w:type="dxa"/>
            <w:gridSpan w:val="2"/>
            <w:vAlign w:val="center"/>
          </w:tcPr>
          <w:p>
            <w:pPr>
              <w:pStyle w:val="54"/>
              <w:ind w:firstLine="0" w:firstLineChars="0"/>
              <w:jc w:val="center"/>
              <w:rPr>
                <w:rFonts w:ascii="Times New Roman"/>
                <w:sz w:val="18"/>
                <w:szCs w:val="18"/>
              </w:rPr>
            </w:pPr>
            <w:r>
              <w:rPr>
                <w:rFonts w:hint="eastAsia" w:ascii="Times New Roman"/>
                <w:sz w:val="18"/>
                <w:szCs w:val="18"/>
              </w:rPr>
              <w:t>压缩回弹率</w:t>
            </w:r>
            <w:r>
              <w:rPr>
                <w:rFonts w:hint="eastAsia"/>
                <w:color w:val="auto"/>
                <w:szCs w:val="21"/>
                <w:highlight w:val="none"/>
                <w:lang w:eastAsia="zh-CN"/>
              </w:rPr>
              <w:t>（</w:t>
            </w:r>
            <w:r>
              <w:rPr>
                <w:color w:val="auto"/>
                <w:szCs w:val="21"/>
                <w:highlight w:val="none"/>
              </w:rPr>
              <w:t>%</w:t>
            </w:r>
            <w:r>
              <w:rPr>
                <w:rFonts w:hint="eastAsia"/>
                <w:color w:val="auto"/>
                <w:szCs w:val="21"/>
                <w:highlight w:val="none"/>
                <w:lang w:eastAsia="zh-CN"/>
              </w:rPr>
              <w:t>）</w:t>
            </w:r>
          </w:p>
        </w:tc>
        <w:tc>
          <w:tcPr>
            <w:tcW w:w="1827" w:type="dxa"/>
          </w:tcPr>
          <w:p>
            <w:pPr>
              <w:pStyle w:val="54"/>
              <w:ind w:firstLine="0" w:firstLineChars="0"/>
              <w:jc w:val="center"/>
              <w:rPr>
                <w:rFonts w:hint="default" w:ascii="Times New Roman"/>
                <w:sz w:val="18"/>
                <w:szCs w:val="18"/>
                <w:lang w:val="en-US" w:eastAsia="zh-CN"/>
              </w:rPr>
            </w:pPr>
            <w:r>
              <w:rPr>
                <w:rFonts w:ascii="Times New Roman"/>
                <w:sz w:val="18"/>
                <w:szCs w:val="18"/>
              </w:rPr>
              <w:t>≥</w:t>
            </w:r>
            <w:r>
              <w:rPr>
                <w:rFonts w:hint="eastAsia" w:ascii="Times New Roman"/>
                <w:sz w:val="18"/>
                <w:szCs w:val="18"/>
                <w:lang w:val="en-US" w:eastAsia="zh-CN"/>
              </w:rPr>
              <w:t>96</w:t>
            </w:r>
          </w:p>
        </w:tc>
        <w:tc>
          <w:tcPr>
            <w:tcW w:w="2800" w:type="dxa"/>
          </w:tcPr>
          <w:p>
            <w:pPr>
              <w:pStyle w:val="54"/>
              <w:ind w:firstLine="0" w:firstLineChars="0"/>
              <w:jc w:val="center"/>
              <w:rPr>
                <w:rFonts w:ascii="Times New Roman"/>
                <w:sz w:val="18"/>
                <w:szCs w:val="18"/>
              </w:rPr>
            </w:pPr>
            <w:r>
              <w:rPr>
                <w:rFonts w:ascii="Times New Roman"/>
                <w:spacing w:val="-5"/>
                <w:sz w:val="18"/>
                <w:szCs w:val="18"/>
              </w:rPr>
              <w:t>GB</w:t>
            </w:r>
            <w:r>
              <w:rPr>
                <w:rFonts w:ascii="Times New Roman"/>
                <w:spacing w:val="-10"/>
                <w:sz w:val="18"/>
                <w:szCs w:val="18"/>
              </w:rPr>
              <w:t>/</w:t>
            </w:r>
            <w:r>
              <w:rPr>
                <w:rFonts w:ascii="Times New Roman"/>
                <w:spacing w:val="-5"/>
                <w:sz w:val="18"/>
                <w:szCs w:val="18"/>
              </w:rPr>
              <w:t xml:space="preserve">T </w:t>
            </w:r>
            <w:r>
              <w:rPr>
                <w:rFonts w:ascii="Times New Roman"/>
                <w:spacing w:val="-7"/>
                <w:sz w:val="18"/>
                <w:szCs w:val="18"/>
              </w:rPr>
              <w:t>3</w:t>
            </w:r>
            <w:r>
              <w:rPr>
                <w:rFonts w:ascii="Times New Roman"/>
                <w:spacing w:val="-5"/>
                <w:sz w:val="18"/>
                <w:szCs w:val="18"/>
              </w:rPr>
              <w:t>4336附录C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535" w:type="dxa"/>
            <w:vAlign w:val="center"/>
          </w:tcPr>
          <w:p>
            <w:pPr>
              <w:pStyle w:val="54"/>
              <w:ind w:firstLine="0" w:firstLineChars="0"/>
              <w:jc w:val="center"/>
              <w:rPr>
                <w:rFonts w:hint="eastAsia" w:ascii="Times New Roman" w:eastAsia="宋体"/>
                <w:sz w:val="18"/>
                <w:szCs w:val="18"/>
                <w:lang w:eastAsia="zh-CN"/>
              </w:rPr>
            </w:pPr>
            <w:r>
              <w:rPr>
                <w:rFonts w:hint="eastAsia" w:ascii="Times New Roman"/>
                <w:sz w:val="18"/>
                <w:szCs w:val="18"/>
                <w:lang w:val="en-US" w:eastAsia="zh-CN"/>
              </w:rPr>
              <w:t>7</w:t>
            </w:r>
          </w:p>
        </w:tc>
        <w:tc>
          <w:tcPr>
            <w:tcW w:w="3080" w:type="dxa"/>
            <w:gridSpan w:val="2"/>
            <w:vAlign w:val="center"/>
          </w:tcPr>
          <w:p>
            <w:pPr>
              <w:pStyle w:val="54"/>
              <w:ind w:firstLine="0" w:firstLineChars="0"/>
              <w:jc w:val="center"/>
              <w:rPr>
                <w:rFonts w:ascii="Times New Roman"/>
                <w:sz w:val="18"/>
                <w:szCs w:val="18"/>
              </w:rPr>
            </w:pPr>
            <w:r>
              <w:rPr>
                <w:rFonts w:hint="eastAsia" w:ascii="Times New Roman"/>
                <w:sz w:val="18"/>
                <w:szCs w:val="18"/>
              </w:rPr>
              <w:t>憎水率</w:t>
            </w:r>
            <w:r>
              <w:rPr>
                <w:rFonts w:hint="eastAsia"/>
                <w:color w:val="auto"/>
                <w:szCs w:val="21"/>
                <w:highlight w:val="none"/>
                <w:lang w:eastAsia="zh-CN"/>
              </w:rPr>
              <w:t>（</w:t>
            </w:r>
            <w:r>
              <w:rPr>
                <w:color w:val="auto"/>
                <w:szCs w:val="21"/>
                <w:highlight w:val="none"/>
              </w:rPr>
              <w:t>%</w:t>
            </w:r>
            <w:r>
              <w:rPr>
                <w:rFonts w:hint="eastAsia"/>
                <w:color w:val="auto"/>
                <w:szCs w:val="21"/>
                <w:highlight w:val="none"/>
                <w:lang w:eastAsia="zh-CN"/>
              </w:rPr>
              <w:t>）</w:t>
            </w:r>
          </w:p>
        </w:tc>
        <w:tc>
          <w:tcPr>
            <w:tcW w:w="1827" w:type="dxa"/>
          </w:tcPr>
          <w:p>
            <w:pPr>
              <w:pStyle w:val="54"/>
              <w:ind w:firstLine="0" w:firstLineChars="0"/>
              <w:jc w:val="center"/>
              <w:rPr>
                <w:rFonts w:ascii="Times New Roman"/>
                <w:sz w:val="18"/>
                <w:szCs w:val="18"/>
              </w:rPr>
            </w:pPr>
            <w:r>
              <w:rPr>
                <w:rFonts w:ascii="Times New Roman"/>
                <w:sz w:val="18"/>
                <w:szCs w:val="18"/>
              </w:rPr>
              <w:t>≥ 9</w:t>
            </w:r>
            <w:r>
              <w:rPr>
                <w:rFonts w:hint="eastAsia" w:ascii="Times New Roman"/>
                <w:sz w:val="18"/>
                <w:szCs w:val="18"/>
                <w:lang w:val="en-US" w:eastAsia="zh-CN"/>
              </w:rPr>
              <w:t>9</w:t>
            </w:r>
            <w:r>
              <w:rPr>
                <w:rFonts w:ascii="Times New Roman"/>
                <w:sz w:val="18"/>
                <w:szCs w:val="18"/>
              </w:rPr>
              <w:t>.0</w:t>
            </w:r>
          </w:p>
        </w:tc>
        <w:tc>
          <w:tcPr>
            <w:tcW w:w="2800" w:type="dxa"/>
          </w:tcPr>
          <w:p>
            <w:pPr>
              <w:pStyle w:val="54"/>
              <w:ind w:firstLine="0" w:firstLineChars="0"/>
              <w:jc w:val="center"/>
              <w:rPr>
                <w:rFonts w:ascii="Times New Roman"/>
                <w:sz w:val="18"/>
                <w:szCs w:val="18"/>
              </w:rPr>
            </w:pPr>
            <w:r>
              <w:rPr>
                <w:rFonts w:ascii="Times New Roman"/>
                <w:sz w:val="18"/>
                <w:szCs w:val="18"/>
              </w:rPr>
              <w:t>GB</w:t>
            </w:r>
            <w:r>
              <w:rPr>
                <w:rFonts w:ascii="Times New Roman"/>
                <w:spacing w:val="-1"/>
                <w:sz w:val="18"/>
                <w:szCs w:val="18"/>
              </w:rPr>
              <w:t>/</w:t>
            </w:r>
            <w:r>
              <w:rPr>
                <w:rFonts w:ascii="Times New Roman"/>
                <w:sz w:val="18"/>
                <w:szCs w:val="18"/>
              </w:rPr>
              <w:t xml:space="preserve">T </w:t>
            </w:r>
            <w:r>
              <w:rPr>
                <w:rFonts w:ascii="Times New Roman"/>
                <w:spacing w:val="-1"/>
                <w:sz w:val="18"/>
                <w:szCs w:val="18"/>
              </w:rPr>
              <w:t>1</w:t>
            </w:r>
            <w:r>
              <w:rPr>
                <w:rFonts w:ascii="Times New Roman"/>
                <w:sz w:val="18"/>
                <w:szCs w:val="18"/>
              </w:rPr>
              <w:t>0299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535" w:type="dxa"/>
            <w:vAlign w:val="center"/>
          </w:tcPr>
          <w:p>
            <w:pPr>
              <w:pStyle w:val="54"/>
              <w:ind w:firstLine="0" w:firstLineChars="0"/>
              <w:jc w:val="center"/>
              <w:rPr>
                <w:rFonts w:hint="eastAsia" w:ascii="Times New Roman" w:eastAsia="宋体"/>
                <w:sz w:val="18"/>
                <w:szCs w:val="18"/>
                <w:lang w:eastAsia="zh-CN"/>
              </w:rPr>
            </w:pPr>
            <w:r>
              <w:rPr>
                <w:rFonts w:hint="eastAsia" w:ascii="Times New Roman"/>
                <w:sz w:val="18"/>
                <w:szCs w:val="18"/>
                <w:lang w:val="en-US" w:eastAsia="zh-CN"/>
              </w:rPr>
              <w:t>8</w:t>
            </w:r>
          </w:p>
        </w:tc>
        <w:tc>
          <w:tcPr>
            <w:tcW w:w="3080" w:type="dxa"/>
            <w:gridSpan w:val="2"/>
            <w:vAlign w:val="center"/>
          </w:tcPr>
          <w:p>
            <w:pPr>
              <w:pStyle w:val="54"/>
              <w:ind w:firstLine="0" w:firstLineChars="0"/>
              <w:jc w:val="center"/>
              <w:rPr>
                <w:rFonts w:ascii="Times New Roman"/>
                <w:sz w:val="18"/>
                <w:szCs w:val="18"/>
              </w:rPr>
            </w:pPr>
            <w:r>
              <w:rPr>
                <w:rFonts w:hint="eastAsia" w:ascii="Times New Roman"/>
                <w:sz w:val="18"/>
                <w:szCs w:val="18"/>
              </w:rPr>
              <w:t>质量吸湿率</w:t>
            </w:r>
            <w:r>
              <w:rPr>
                <w:rFonts w:hint="eastAsia"/>
                <w:color w:val="auto"/>
                <w:szCs w:val="21"/>
                <w:highlight w:val="none"/>
                <w:lang w:eastAsia="zh-CN"/>
              </w:rPr>
              <w:t>（</w:t>
            </w:r>
            <w:r>
              <w:rPr>
                <w:color w:val="auto"/>
                <w:szCs w:val="21"/>
                <w:highlight w:val="none"/>
              </w:rPr>
              <w:t>%</w:t>
            </w:r>
            <w:r>
              <w:rPr>
                <w:rFonts w:hint="eastAsia"/>
                <w:color w:val="auto"/>
                <w:szCs w:val="21"/>
                <w:highlight w:val="none"/>
                <w:lang w:eastAsia="zh-CN"/>
              </w:rPr>
              <w:t>）</w:t>
            </w:r>
          </w:p>
        </w:tc>
        <w:tc>
          <w:tcPr>
            <w:tcW w:w="1827" w:type="dxa"/>
          </w:tcPr>
          <w:p>
            <w:pPr>
              <w:pStyle w:val="54"/>
              <w:ind w:firstLine="0" w:firstLineChars="0"/>
              <w:jc w:val="center"/>
              <w:rPr>
                <w:rFonts w:ascii="Times New Roman"/>
                <w:sz w:val="18"/>
                <w:szCs w:val="18"/>
              </w:rPr>
            </w:pPr>
            <w:r>
              <w:rPr>
                <w:rFonts w:ascii="Times New Roman"/>
                <w:sz w:val="18"/>
                <w:szCs w:val="18"/>
              </w:rPr>
              <w:t>≤ 5.0</w:t>
            </w:r>
          </w:p>
        </w:tc>
        <w:tc>
          <w:tcPr>
            <w:tcW w:w="2800" w:type="dxa"/>
          </w:tcPr>
          <w:p>
            <w:pPr>
              <w:pStyle w:val="54"/>
              <w:ind w:firstLine="0" w:firstLineChars="0"/>
              <w:jc w:val="center"/>
              <w:rPr>
                <w:rFonts w:ascii="Times New Roman"/>
                <w:sz w:val="18"/>
                <w:szCs w:val="18"/>
              </w:rPr>
            </w:pPr>
            <w:r>
              <w:rPr>
                <w:rFonts w:ascii="Times New Roman"/>
                <w:sz w:val="18"/>
                <w:szCs w:val="18"/>
              </w:rPr>
              <w:t>GB</w:t>
            </w:r>
            <w:r>
              <w:rPr>
                <w:rFonts w:ascii="Times New Roman"/>
                <w:spacing w:val="-1"/>
                <w:sz w:val="18"/>
                <w:szCs w:val="18"/>
              </w:rPr>
              <w:t>/</w:t>
            </w:r>
            <w:r>
              <w:rPr>
                <w:rFonts w:ascii="Times New Roman"/>
                <w:sz w:val="18"/>
                <w:szCs w:val="18"/>
              </w:rPr>
              <w:t xml:space="preserve">T </w:t>
            </w:r>
            <w:r>
              <w:rPr>
                <w:rFonts w:ascii="Times New Roman"/>
                <w:spacing w:val="-1"/>
                <w:sz w:val="18"/>
                <w:szCs w:val="18"/>
              </w:rPr>
              <w:t>5</w:t>
            </w:r>
            <w:r>
              <w:rPr>
                <w:rFonts w:ascii="Times New Roman"/>
                <w:sz w:val="18"/>
                <w:szCs w:val="18"/>
              </w:rPr>
              <w:t>480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7" w:hRule="atLeast"/>
          <w:jc w:val="center"/>
        </w:trPr>
        <w:tc>
          <w:tcPr>
            <w:tcW w:w="1535" w:type="dxa"/>
            <w:vAlign w:val="center"/>
          </w:tcPr>
          <w:p>
            <w:pPr>
              <w:pStyle w:val="54"/>
              <w:ind w:firstLine="0" w:firstLineChars="0"/>
              <w:jc w:val="center"/>
              <w:rPr>
                <w:rFonts w:hint="eastAsia" w:ascii="Times New Roman" w:eastAsia="宋体"/>
                <w:sz w:val="18"/>
                <w:szCs w:val="18"/>
                <w:lang w:eastAsia="zh-CN"/>
              </w:rPr>
            </w:pPr>
            <w:r>
              <w:rPr>
                <w:rFonts w:hint="eastAsia" w:ascii="Times New Roman"/>
                <w:sz w:val="18"/>
                <w:szCs w:val="18"/>
                <w:lang w:val="en-US" w:eastAsia="zh-CN"/>
              </w:rPr>
              <w:t>9</w:t>
            </w:r>
          </w:p>
        </w:tc>
        <w:tc>
          <w:tcPr>
            <w:tcW w:w="3080" w:type="dxa"/>
            <w:gridSpan w:val="2"/>
            <w:vAlign w:val="center"/>
          </w:tcPr>
          <w:p>
            <w:pPr>
              <w:pStyle w:val="54"/>
              <w:ind w:firstLine="0" w:firstLineChars="0"/>
              <w:jc w:val="center"/>
              <w:rPr>
                <w:rFonts w:hint="eastAsia" w:ascii="Times New Roman"/>
                <w:sz w:val="18"/>
                <w:szCs w:val="18"/>
              </w:rPr>
            </w:pPr>
            <w:r>
              <w:rPr>
                <w:rFonts w:hint="eastAsia" w:ascii="Times New Roman"/>
                <w:sz w:val="18"/>
                <w:szCs w:val="18"/>
              </w:rPr>
              <w:t>抗拉强度</w:t>
            </w:r>
            <w:r>
              <w:rPr>
                <w:rFonts w:hint="eastAsia" w:ascii="Times New Roman"/>
                <w:sz w:val="18"/>
                <w:szCs w:val="18"/>
                <w:lang w:eastAsia="zh-CN"/>
              </w:rPr>
              <w:t>（</w:t>
            </w:r>
            <w:r>
              <w:rPr>
                <w:rFonts w:ascii="Times New Roman"/>
                <w:sz w:val="18"/>
                <w:szCs w:val="18"/>
              </w:rPr>
              <w:t>k</w:t>
            </w:r>
            <w:r>
              <w:rPr>
                <w:rFonts w:hint="eastAsia" w:ascii="Times New Roman"/>
                <w:sz w:val="18"/>
                <w:szCs w:val="18"/>
              </w:rPr>
              <w:t>Pa</w:t>
            </w:r>
            <w:r>
              <w:rPr>
                <w:rFonts w:hint="eastAsia" w:ascii="Times New Roman"/>
                <w:sz w:val="18"/>
                <w:szCs w:val="18"/>
                <w:lang w:eastAsia="zh-CN"/>
              </w:rPr>
              <w:t>）</w:t>
            </w:r>
          </w:p>
          <w:p>
            <w:pPr>
              <w:pStyle w:val="54"/>
              <w:ind w:firstLine="0" w:firstLineChars="0"/>
              <w:jc w:val="center"/>
              <w:rPr>
                <w:rFonts w:hint="default" w:ascii="Times New Roman" w:eastAsia="宋体"/>
                <w:sz w:val="18"/>
                <w:szCs w:val="18"/>
                <w:lang w:val="en-US" w:eastAsia="zh-CN"/>
              </w:rPr>
            </w:pPr>
            <w:r>
              <w:rPr>
                <w:rFonts w:hint="eastAsia" w:ascii="Times New Roman"/>
                <w:sz w:val="18"/>
                <w:szCs w:val="18"/>
                <w:lang w:val="en-US" w:eastAsia="zh-CN"/>
              </w:rPr>
              <w:t>横向/纵向</w:t>
            </w:r>
          </w:p>
        </w:tc>
        <w:tc>
          <w:tcPr>
            <w:tcW w:w="1827" w:type="dxa"/>
          </w:tcPr>
          <w:p>
            <w:pPr>
              <w:pStyle w:val="54"/>
              <w:ind w:firstLine="0" w:firstLineChars="0"/>
              <w:jc w:val="center"/>
              <w:rPr>
                <w:rFonts w:hint="default" w:ascii="Times New Roman"/>
                <w:sz w:val="18"/>
                <w:szCs w:val="18"/>
                <w:lang w:val="en-US" w:eastAsia="zh-CN"/>
              </w:rPr>
            </w:pPr>
            <w:r>
              <w:rPr>
                <w:rFonts w:ascii="Times New Roman"/>
                <w:sz w:val="18"/>
                <w:szCs w:val="18"/>
              </w:rPr>
              <w:t xml:space="preserve">≥ </w:t>
            </w:r>
            <w:r>
              <w:rPr>
                <w:rFonts w:hint="eastAsia" w:ascii="Times New Roman"/>
                <w:sz w:val="18"/>
                <w:szCs w:val="18"/>
                <w:lang w:val="en-US" w:eastAsia="zh-CN"/>
              </w:rPr>
              <w:t>1400</w:t>
            </w:r>
          </w:p>
          <w:p>
            <w:pPr>
              <w:pStyle w:val="54"/>
              <w:ind w:firstLine="0" w:firstLineChars="0"/>
              <w:jc w:val="center"/>
              <w:rPr>
                <w:rFonts w:hint="default" w:ascii="Times New Roman"/>
                <w:sz w:val="18"/>
                <w:szCs w:val="18"/>
                <w:lang w:val="en-US" w:eastAsia="zh-CN"/>
              </w:rPr>
            </w:pPr>
            <w:r>
              <w:rPr>
                <w:rFonts w:ascii="Times New Roman"/>
                <w:sz w:val="18"/>
                <w:szCs w:val="18"/>
              </w:rPr>
              <w:t xml:space="preserve">≥ </w:t>
            </w:r>
            <w:r>
              <w:rPr>
                <w:rFonts w:hint="eastAsia" w:ascii="Times New Roman"/>
                <w:sz w:val="18"/>
                <w:szCs w:val="18"/>
                <w:lang w:val="en-US" w:eastAsia="zh-CN"/>
              </w:rPr>
              <w:t>400</w:t>
            </w:r>
          </w:p>
        </w:tc>
        <w:tc>
          <w:tcPr>
            <w:tcW w:w="2800" w:type="dxa"/>
          </w:tcPr>
          <w:p>
            <w:pPr>
              <w:pStyle w:val="54"/>
              <w:ind w:firstLine="0" w:firstLineChars="0"/>
              <w:jc w:val="center"/>
              <w:rPr>
                <w:rFonts w:ascii="Times New Roman"/>
                <w:sz w:val="18"/>
                <w:szCs w:val="18"/>
              </w:rPr>
            </w:pPr>
            <w:r>
              <w:rPr>
                <w:rFonts w:ascii="Times New Roman"/>
                <w:sz w:val="18"/>
                <w:szCs w:val="18"/>
              </w:rPr>
              <w:t>GB</w:t>
            </w:r>
            <w:r>
              <w:rPr>
                <w:rFonts w:ascii="Times New Roman"/>
                <w:spacing w:val="-1"/>
                <w:sz w:val="18"/>
                <w:szCs w:val="18"/>
              </w:rPr>
              <w:t>/</w:t>
            </w:r>
            <w:r>
              <w:rPr>
                <w:rFonts w:ascii="Times New Roman"/>
                <w:sz w:val="18"/>
                <w:szCs w:val="18"/>
              </w:rPr>
              <w:t xml:space="preserve">T </w:t>
            </w:r>
            <w:r>
              <w:rPr>
                <w:rFonts w:ascii="Times New Roman"/>
                <w:spacing w:val="-1"/>
                <w:sz w:val="18"/>
                <w:szCs w:val="18"/>
              </w:rPr>
              <w:t>1</w:t>
            </w:r>
            <w:r>
              <w:rPr>
                <w:rFonts w:ascii="Times New Roman"/>
                <w:sz w:val="18"/>
                <w:szCs w:val="18"/>
              </w:rPr>
              <w:t>7911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535" w:type="dxa"/>
            <w:vAlign w:val="center"/>
          </w:tcPr>
          <w:p>
            <w:pPr>
              <w:pStyle w:val="54"/>
              <w:ind w:firstLine="0" w:firstLineChars="0"/>
              <w:jc w:val="center"/>
              <w:rPr>
                <w:rFonts w:hint="default" w:ascii="Times New Roman" w:eastAsia="宋体"/>
                <w:sz w:val="18"/>
                <w:szCs w:val="18"/>
                <w:lang w:val="en-US" w:eastAsia="zh-CN"/>
              </w:rPr>
            </w:pPr>
            <w:r>
              <w:rPr>
                <w:rFonts w:hint="eastAsia" w:ascii="Times New Roman"/>
                <w:sz w:val="18"/>
                <w:szCs w:val="18"/>
                <w:lang w:val="en-US" w:eastAsia="zh-CN"/>
              </w:rPr>
              <w:t>10</w:t>
            </w:r>
          </w:p>
        </w:tc>
        <w:tc>
          <w:tcPr>
            <w:tcW w:w="1260" w:type="dxa"/>
            <w:vMerge w:val="restart"/>
            <w:vAlign w:val="center"/>
          </w:tcPr>
          <w:p>
            <w:pPr>
              <w:pStyle w:val="54"/>
              <w:ind w:firstLine="0" w:firstLineChars="0"/>
              <w:jc w:val="center"/>
              <w:rPr>
                <w:rFonts w:hint="eastAsia" w:ascii="Times New Roman" w:eastAsia="宋体"/>
                <w:sz w:val="18"/>
                <w:szCs w:val="18"/>
                <w:lang w:val="en-US" w:eastAsia="zh-CN"/>
              </w:rPr>
            </w:pPr>
            <w:r>
              <w:rPr>
                <w:rFonts w:hint="eastAsia" w:ascii="Times New Roman"/>
                <w:sz w:val="18"/>
                <w:szCs w:val="18"/>
              </w:rPr>
              <w:t>燃烧性能A</w:t>
            </w:r>
            <w:r>
              <w:rPr>
                <w:rFonts w:hint="eastAsia" w:ascii="Times New Roman"/>
                <w:sz w:val="18"/>
                <w:szCs w:val="18"/>
                <w:lang w:val="en-US" w:eastAsia="zh-CN"/>
              </w:rPr>
              <w:t>级</w:t>
            </w:r>
          </w:p>
        </w:tc>
        <w:tc>
          <w:tcPr>
            <w:tcW w:w="1820" w:type="dxa"/>
          </w:tcPr>
          <w:p>
            <w:pPr>
              <w:pStyle w:val="54"/>
              <w:ind w:firstLine="0" w:firstLineChars="0"/>
              <w:jc w:val="center"/>
              <w:rPr>
                <w:rFonts w:ascii="Times New Roman"/>
                <w:sz w:val="18"/>
                <w:szCs w:val="18"/>
              </w:rPr>
            </w:pPr>
            <w:r>
              <w:rPr>
                <w:rFonts w:ascii="Times New Roman"/>
                <w:spacing w:val="-1"/>
                <w:sz w:val="18"/>
                <w:szCs w:val="18"/>
              </w:rPr>
              <w:t>燃烧热值(</w:t>
            </w:r>
            <w:r>
              <w:rPr>
                <w:rFonts w:ascii="Times New Roman"/>
                <w:sz w:val="18"/>
                <w:szCs w:val="18"/>
              </w:rPr>
              <w:t>MJ/kg)</w:t>
            </w:r>
          </w:p>
        </w:tc>
        <w:tc>
          <w:tcPr>
            <w:tcW w:w="1827" w:type="dxa"/>
          </w:tcPr>
          <w:p>
            <w:pPr>
              <w:pStyle w:val="54"/>
              <w:ind w:firstLine="0" w:firstLineChars="0"/>
              <w:jc w:val="center"/>
              <w:rPr>
                <w:rFonts w:ascii="Times New Roman"/>
                <w:sz w:val="18"/>
                <w:szCs w:val="18"/>
              </w:rPr>
            </w:pPr>
            <w:r>
              <w:rPr>
                <w:rFonts w:ascii="Times New Roman"/>
                <w:spacing w:val="-6"/>
                <w:sz w:val="18"/>
                <w:szCs w:val="18"/>
              </w:rPr>
              <w:t xml:space="preserve">≤ </w:t>
            </w:r>
            <w:r>
              <w:rPr>
                <w:rFonts w:ascii="Times New Roman"/>
                <w:spacing w:val="-5"/>
                <w:sz w:val="18"/>
                <w:szCs w:val="18"/>
              </w:rPr>
              <w:t>2.0</w:t>
            </w:r>
          </w:p>
        </w:tc>
        <w:tc>
          <w:tcPr>
            <w:tcW w:w="2800" w:type="dxa"/>
          </w:tcPr>
          <w:p>
            <w:pPr>
              <w:pStyle w:val="54"/>
              <w:ind w:firstLine="0" w:firstLineChars="0"/>
              <w:jc w:val="center"/>
              <w:rPr>
                <w:rFonts w:ascii="Times New Roman"/>
                <w:sz w:val="18"/>
                <w:szCs w:val="18"/>
              </w:rPr>
            </w:pPr>
            <w:r>
              <w:rPr>
                <w:rFonts w:ascii="Times New Roman"/>
                <w:sz w:val="18"/>
                <w:szCs w:val="18"/>
              </w:rPr>
              <w:t>GB</w:t>
            </w:r>
            <w:r>
              <w:rPr>
                <w:rFonts w:ascii="Times New Roman"/>
                <w:spacing w:val="-1"/>
                <w:sz w:val="18"/>
                <w:szCs w:val="18"/>
              </w:rPr>
              <w:t>/</w:t>
            </w:r>
            <w:r>
              <w:rPr>
                <w:rFonts w:ascii="Times New Roman"/>
                <w:sz w:val="18"/>
                <w:szCs w:val="18"/>
              </w:rPr>
              <w:t xml:space="preserve">T </w:t>
            </w:r>
            <w:r>
              <w:rPr>
                <w:rFonts w:ascii="Times New Roman"/>
                <w:spacing w:val="-1"/>
                <w:sz w:val="18"/>
                <w:szCs w:val="18"/>
              </w:rPr>
              <w:t>1</w:t>
            </w:r>
            <w:r>
              <w:rPr>
                <w:rFonts w:ascii="Times New Roman"/>
                <w:sz w:val="18"/>
                <w:szCs w:val="18"/>
              </w:rPr>
              <w:t>4402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535" w:type="dxa"/>
            <w:vAlign w:val="center"/>
          </w:tcPr>
          <w:p>
            <w:pPr>
              <w:pStyle w:val="54"/>
              <w:ind w:firstLine="0" w:firstLineChars="0"/>
              <w:jc w:val="center"/>
              <w:rPr>
                <w:rFonts w:hint="default" w:ascii="Times New Roman" w:eastAsia="宋体"/>
                <w:sz w:val="18"/>
                <w:szCs w:val="18"/>
                <w:lang w:val="en-US" w:eastAsia="zh-CN"/>
              </w:rPr>
            </w:pPr>
            <w:r>
              <w:rPr>
                <w:rFonts w:hint="eastAsia" w:ascii="Times New Roman"/>
                <w:sz w:val="18"/>
                <w:szCs w:val="18"/>
                <w:lang w:val="en-US" w:eastAsia="zh-CN"/>
              </w:rPr>
              <w:t>11</w:t>
            </w:r>
          </w:p>
        </w:tc>
        <w:tc>
          <w:tcPr>
            <w:tcW w:w="1260" w:type="dxa"/>
            <w:vMerge w:val="continue"/>
            <w:vAlign w:val="center"/>
          </w:tcPr>
          <w:p>
            <w:pPr>
              <w:pStyle w:val="54"/>
              <w:ind w:firstLine="0" w:firstLineChars="0"/>
              <w:jc w:val="center"/>
              <w:rPr>
                <w:rFonts w:ascii="Times New Roman"/>
                <w:sz w:val="18"/>
                <w:szCs w:val="18"/>
              </w:rPr>
            </w:pPr>
          </w:p>
        </w:tc>
        <w:tc>
          <w:tcPr>
            <w:tcW w:w="1820" w:type="dxa"/>
          </w:tcPr>
          <w:p>
            <w:pPr>
              <w:pStyle w:val="54"/>
              <w:ind w:firstLine="0" w:firstLineChars="0"/>
              <w:jc w:val="center"/>
              <w:rPr>
                <w:rFonts w:ascii="Times New Roman"/>
                <w:sz w:val="18"/>
                <w:szCs w:val="18"/>
              </w:rPr>
            </w:pPr>
            <w:r>
              <w:rPr>
                <w:rFonts w:ascii="Times New Roman"/>
                <w:spacing w:val="-1"/>
                <w:sz w:val="18"/>
                <w:szCs w:val="18"/>
              </w:rPr>
              <w:t>炉内平均升温</w:t>
            </w:r>
            <w:r>
              <w:rPr>
                <w:rFonts w:hint="eastAsia" w:ascii="Times New Roman"/>
                <w:spacing w:val="-1"/>
                <w:sz w:val="18"/>
                <w:szCs w:val="18"/>
                <w:lang w:eastAsia="zh-CN"/>
              </w:rPr>
              <w:t>（</w:t>
            </w:r>
            <w:r>
              <w:rPr>
                <w:rFonts w:ascii="Times New Roman"/>
                <w:spacing w:val="-1"/>
                <w:sz w:val="18"/>
                <w:szCs w:val="18"/>
              </w:rPr>
              <w:t>℃</w:t>
            </w:r>
            <w:r>
              <w:rPr>
                <w:rFonts w:hint="eastAsia" w:ascii="Times New Roman"/>
                <w:spacing w:val="-1"/>
                <w:sz w:val="18"/>
                <w:szCs w:val="18"/>
                <w:lang w:eastAsia="zh-CN"/>
              </w:rPr>
              <w:t>）</w:t>
            </w:r>
          </w:p>
        </w:tc>
        <w:tc>
          <w:tcPr>
            <w:tcW w:w="1827" w:type="dxa"/>
          </w:tcPr>
          <w:p>
            <w:pPr>
              <w:pStyle w:val="54"/>
              <w:ind w:firstLine="0" w:firstLineChars="0"/>
              <w:jc w:val="center"/>
              <w:rPr>
                <w:rFonts w:ascii="Times New Roman"/>
                <w:sz w:val="18"/>
                <w:szCs w:val="18"/>
              </w:rPr>
            </w:pPr>
            <w:r>
              <w:rPr>
                <w:rFonts w:ascii="Times New Roman"/>
                <w:spacing w:val="-7"/>
                <w:sz w:val="18"/>
                <w:szCs w:val="18"/>
              </w:rPr>
              <w:t>≤ 30</w:t>
            </w:r>
          </w:p>
        </w:tc>
        <w:tc>
          <w:tcPr>
            <w:tcW w:w="2800" w:type="dxa"/>
          </w:tcPr>
          <w:p>
            <w:pPr>
              <w:pStyle w:val="54"/>
              <w:ind w:firstLine="0" w:firstLineChars="0"/>
              <w:jc w:val="center"/>
              <w:rPr>
                <w:rFonts w:ascii="Times New Roman"/>
                <w:sz w:val="18"/>
                <w:szCs w:val="18"/>
              </w:rPr>
            </w:pPr>
            <w:r>
              <w:rPr>
                <w:rFonts w:ascii="Times New Roman"/>
                <w:sz w:val="18"/>
                <w:szCs w:val="18"/>
              </w:rPr>
              <w:t>GB</w:t>
            </w:r>
            <w:r>
              <w:rPr>
                <w:rFonts w:ascii="Times New Roman"/>
                <w:spacing w:val="-1"/>
                <w:sz w:val="18"/>
                <w:szCs w:val="18"/>
              </w:rPr>
              <w:t>/</w:t>
            </w:r>
            <w:r>
              <w:rPr>
                <w:rFonts w:ascii="Times New Roman"/>
                <w:sz w:val="18"/>
                <w:szCs w:val="18"/>
              </w:rPr>
              <w:t xml:space="preserve">T </w:t>
            </w:r>
            <w:r>
              <w:rPr>
                <w:rFonts w:ascii="Times New Roman"/>
                <w:spacing w:val="-1"/>
                <w:sz w:val="18"/>
                <w:szCs w:val="18"/>
              </w:rPr>
              <w:t>5</w:t>
            </w:r>
            <w:r>
              <w:rPr>
                <w:rFonts w:ascii="Times New Roman"/>
                <w:sz w:val="18"/>
                <w:szCs w:val="18"/>
              </w:rPr>
              <w:t>464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1535" w:type="dxa"/>
            <w:vAlign w:val="center"/>
          </w:tcPr>
          <w:p>
            <w:pPr>
              <w:pStyle w:val="54"/>
              <w:ind w:firstLine="0" w:firstLineChars="0"/>
              <w:jc w:val="center"/>
              <w:rPr>
                <w:rFonts w:hint="default" w:ascii="Times New Roman" w:eastAsia="宋体"/>
                <w:sz w:val="18"/>
                <w:szCs w:val="18"/>
                <w:lang w:val="en-US" w:eastAsia="zh-CN"/>
              </w:rPr>
            </w:pPr>
            <w:r>
              <w:rPr>
                <w:rFonts w:hint="eastAsia" w:ascii="Times New Roman"/>
                <w:sz w:val="18"/>
                <w:szCs w:val="18"/>
                <w:lang w:val="en-US" w:eastAsia="zh-CN"/>
              </w:rPr>
              <w:t>12</w:t>
            </w:r>
          </w:p>
        </w:tc>
        <w:tc>
          <w:tcPr>
            <w:tcW w:w="1260" w:type="dxa"/>
            <w:vMerge w:val="continue"/>
            <w:vAlign w:val="center"/>
          </w:tcPr>
          <w:p>
            <w:pPr>
              <w:pStyle w:val="54"/>
              <w:ind w:firstLine="0" w:firstLineChars="0"/>
              <w:jc w:val="center"/>
              <w:rPr>
                <w:rFonts w:ascii="Times New Roman"/>
                <w:sz w:val="18"/>
                <w:szCs w:val="18"/>
              </w:rPr>
            </w:pPr>
          </w:p>
        </w:tc>
        <w:tc>
          <w:tcPr>
            <w:tcW w:w="1820" w:type="dxa"/>
          </w:tcPr>
          <w:p>
            <w:pPr>
              <w:pStyle w:val="54"/>
              <w:ind w:firstLine="0" w:firstLineChars="0"/>
              <w:jc w:val="center"/>
              <w:rPr>
                <w:rFonts w:ascii="Times New Roman"/>
                <w:sz w:val="18"/>
                <w:szCs w:val="18"/>
              </w:rPr>
            </w:pPr>
            <w:r>
              <w:rPr>
                <w:rFonts w:ascii="Times New Roman"/>
                <w:spacing w:val="-1"/>
                <w:sz w:val="18"/>
                <w:szCs w:val="18"/>
              </w:rPr>
              <w:t>持续火焰时间</w:t>
            </w:r>
            <w:r>
              <w:rPr>
                <w:rFonts w:hint="eastAsia" w:ascii="Times New Roman"/>
                <w:spacing w:val="-1"/>
                <w:sz w:val="18"/>
                <w:szCs w:val="18"/>
                <w:lang w:eastAsia="zh-CN"/>
              </w:rPr>
              <w:t>（</w:t>
            </w:r>
            <w:r>
              <w:rPr>
                <w:rFonts w:ascii="Times New Roman"/>
                <w:sz w:val="18"/>
                <w:szCs w:val="18"/>
              </w:rPr>
              <w:t>S</w:t>
            </w:r>
            <w:r>
              <w:rPr>
                <w:rFonts w:hint="eastAsia" w:ascii="Times New Roman"/>
                <w:spacing w:val="-1"/>
                <w:sz w:val="18"/>
                <w:szCs w:val="18"/>
                <w:lang w:eastAsia="zh-CN"/>
              </w:rPr>
              <w:t>）</w:t>
            </w:r>
          </w:p>
        </w:tc>
        <w:tc>
          <w:tcPr>
            <w:tcW w:w="1827" w:type="dxa"/>
          </w:tcPr>
          <w:p>
            <w:pPr>
              <w:pStyle w:val="54"/>
              <w:ind w:firstLine="0" w:firstLineChars="0"/>
              <w:jc w:val="center"/>
              <w:rPr>
                <w:rFonts w:ascii="Times New Roman"/>
                <w:sz w:val="18"/>
                <w:szCs w:val="18"/>
              </w:rPr>
            </w:pPr>
            <w:r>
              <w:rPr>
                <w:rFonts w:ascii="Times New Roman"/>
                <w:sz w:val="18"/>
                <w:szCs w:val="18"/>
              </w:rPr>
              <w:t>0</w:t>
            </w:r>
          </w:p>
        </w:tc>
        <w:tc>
          <w:tcPr>
            <w:tcW w:w="2800" w:type="dxa"/>
          </w:tcPr>
          <w:p>
            <w:pPr>
              <w:pStyle w:val="54"/>
              <w:ind w:firstLine="0" w:firstLineChars="0"/>
              <w:jc w:val="center"/>
              <w:rPr>
                <w:rFonts w:ascii="Times New Roman"/>
                <w:sz w:val="18"/>
                <w:szCs w:val="18"/>
              </w:rPr>
            </w:pPr>
            <w:r>
              <w:rPr>
                <w:rFonts w:ascii="Times New Roman"/>
                <w:sz w:val="18"/>
                <w:szCs w:val="18"/>
              </w:rPr>
              <w:t>GB</w:t>
            </w:r>
            <w:r>
              <w:rPr>
                <w:rFonts w:ascii="Times New Roman"/>
                <w:spacing w:val="-1"/>
                <w:sz w:val="18"/>
                <w:szCs w:val="18"/>
              </w:rPr>
              <w:t xml:space="preserve">/ </w:t>
            </w:r>
            <w:r>
              <w:rPr>
                <w:rFonts w:ascii="Times New Roman"/>
                <w:sz w:val="18"/>
                <w:szCs w:val="18"/>
              </w:rPr>
              <w:t>T</w:t>
            </w:r>
            <w:r>
              <w:rPr>
                <w:rFonts w:ascii="Times New Roman"/>
                <w:spacing w:val="-1"/>
                <w:sz w:val="18"/>
                <w:szCs w:val="18"/>
              </w:rPr>
              <w:t>5</w:t>
            </w:r>
            <w:r>
              <w:rPr>
                <w:rFonts w:ascii="Times New Roman"/>
                <w:sz w:val="18"/>
                <w:szCs w:val="18"/>
              </w:rPr>
              <w:t>464</w:t>
            </w:r>
          </w:p>
        </w:tc>
      </w:tr>
    </w:tbl>
    <w:p>
      <w:pPr>
        <w:snapToGrid w:val="0"/>
        <w:spacing w:line="360" w:lineRule="auto"/>
        <w:rPr>
          <w:b/>
          <w:color w:val="auto"/>
          <w:sz w:val="24"/>
          <w:highlight w:val="none"/>
        </w:rPr>
      </w:pPr>
    </w:p>
    <w:p>
      <w:pPr>
        <w:keepNext w:val="0"/>
        <w:keepLines w:val="0"/>
        <w:pageBreakBefore w:val="0"/>
        <w:widowControl w:val="0"/>
        <w:kinsoku/>
        <w:wordWrap/>
        <w:overflowPunct/>
        <w:topLinePunct w:val="0"/>
        <w:autoSpaceDE/>
        <w:autoSpaceDN/>
        <w:bidi w:val="0"/>
        <w:adjustRightInd/>
        <w:snapToGrid w:val="0"/>
        <w:spacing w:line="360" w:lineRule="auto"/>
        <w:textAlignment w:val="auto"/>
        <w:outlineLvl w:val="2"/>
        <w:rPr>
          <w:color w:val="auto"/>
          <w:sz w:val="24"/>
          <w:highlight w:val="none"/>
        </w:rPr>
      </w:pPr>
      <w:r>
        <w:rPr>
          <w:rFonts w:hint="eastAsia"/>
          <w:b/>
          <w:color w:val="auto"/>
          <w:sz w:val="24"/>
          <w:highlight w:val="none"/>
        </w:rPr>
        <w:t>4.3.</w:t>
      </w:r>
      <w:r>
        <w:rPr>
          <w:rFonts w:hint="eastAsia"/>
          <w:b/>
          <w:color w:val="auto"/>
          <w:sz w:val="24"/>
          <w:highlight w:val="none"/>
          <w:lang w:val="en-US" w:eastAsia="zh-CN"/>
        </w:rPr>
        <w:t xml:space="preserve">8 </w:t>
      </w:r>
      <w:r>
        <w:rPr>
          <w:rFonts w:hint="eastAsia"/>
          <w:color w:val="auto"/>
          <w:sz w:val="24"/>
          <w:highlight w:val="none"/>
        </w:rPr>
        <w:t>胶粘剂的性能应符合表4.3.</w:t>
      </w:r>
      <w:r>
        <w:rPr>
          <w:rFonts w:hint="eastAsia"/>
          <w:color w:val="auto"/>
          <w:sz w:val="24"/>
          <w:highlight w:val="none"/>
          <w:lang w:val="en-US" w:eastAsia="zh-CN"/>
        </w:rPr>
        <w:t>8</w:t>
      </w:r>
      <w:r>
        <w:rPr>
          <w:rFonts w:hint="eastAsia"/>
          <w:color w:val="auto"/>
          <w:sz w:val="24"/>
          <w:highlight w:val="none"/>
        </w:rPr>
        <w:t>的规定。</w:t>
      </w:r>
    </w:p>
    <w:p>
      <w:pPr>
        <w:jc w:val="center"/>
        <w:rPr>
          <w:b/>
          <w:color w:val="auto"/>
          <w:szCs w:val="21"/>
          <w:highlight w:val="none"/>
        </w:rPr>
      </w:pPr>
      <w:r>
        <w:rPr>
          <w:rFonts w:hint="eastAsia" w:hAnsi="宋体"/>
          <w:b/>
          <w:color w:val="auto"/>
          <w:szCs w:val="21"/>
          <w:highlight w:val="none"/>
        </w:rPr>
        <w:t>表</w:t>
      </w:r>
      <w:r>
        <w:rPr>
          <w:rFonts w:hint="eastAsia"/>
          <w:b/>
          <w:color w:val="auto"/>
          <w:szCs w:val="21"/>
          <w:highlight w:val="none"/>
        </w:rPr>
        <w:t>4.3.</w:t>
      </w:r>
      <w:r>
        <w:rPr>
          <w:rFonts w:hint="eastAsia"/>
          <w:b/>
          <w:color w:val="auto"/>
          <w:szCs w:val="21"/>
          <w:highlight w:val="none"/>
          <w:lang w:val="en-US" w:eastAsia="zh-CN"/>
        </w:rPr>
        <w:t>8</w:t>
      </w:r>
      <w:r>
        <w:rPr>
          <w:rFonts w:hint="eastAsia" w:hAnsi="宋体"/>
          <w:b/>
          <w:color w:val="auto"/>
          <w:szCs w:val="21"/>
          <w:highlight w:val="none"/>
        </w:rPr>
        <w:t>胶粘剂性能指标</w:t>
      </w:r>
    </w:p>
    <w:tbl>
      <w:tblPr>
        <w:tblStyle w:val="24"/>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40"/>
        <w:gridCol w:w="869"/>
        <w:gridCol w:w="1898"/>
        <w:gridCol w:w="3030"/>
        <w:gridCol w:w="13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58" w:type="pct"/>
            <w:vAlign w:val="center"/>
          </w:tcPr>
          <w:p>
            <w:pPr>
              <w:spacing w:before="100" w:after="100"/>
              <w:jc w:val="center"/>
              <w:rPr>
                <w:color w:val="auto"/>
                <w:szCs w:val="21"/>
                <w:highlight w:val="none"/>
              </w:rPr>
            </w:pPr>
            <w:r>
              <w:rPr>
                <w:rFonts w:hint="eastAsia"/>
                <w:color w:val="auto"/>
                <w:szCs w:val="21"/>
                <w:highlight w:val="none"/>
              </w:rPr>
              <w:t>项目</w:t>
            </w:r>
          </w:p>
        </w:tc>
        <w:tc>
          <w:tcPr>
            <w:tcW w:w="3136" w:type="pct"/>
            <w:gridSpan w:val="3"/>
            <w:vAlign w:val="center"/>
          </w:tcPr>
          <w:p>
            <w:pPr>
              <w:spacing w:before="100" w:after="100"/>
              <w:jc w:val="center"/>
              <w:rPr>
                <w:color w:val="auto"/>
                <w:szCs w:val="21"/>
                <w:highlight w:val="none"/>
              </w:rPr>
            </w:pPr>
            <w:r>
              <w:rPr>
                <w:rFonts w:hint="eastAsia"/>
                <w:color w:val="auto"/>
                <w:szCs w:val="21"/>
                <w:highlight w:val="none"/>
              </w:rPr>
              <w:t>性能指标</w:t>
            </w:r>
          </w:p>
        </w:tc>
        <w:tc>
          <w:tcPr>
            <w:tcW w:w="706" w:type="pct"/>
          </w:tcPr>
          <w:p>
            <w:pPr>
              <w:spacing w:before="100" w:after="100"/>
              <w:jc w:val="center"/>
              <w:rPr>
                <w:color w:val="auto"/>
                <w:szCs w:val="21"/>
                <w:highlight w:val="none"/>
              </w:rPr>
            </w:pPr>
            <w:r>
              <w:rPr>
                <w:rFonts w:hint="eastAsia"/>
                <w:color w:val="auto"/>
                <w:szCs w:val="21"/>
                <w:highlight w:val="none"/>
              </w:rPr>
              <w:t>试验方法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58" w:type="pct"/>
            <w:vMerge w:val="restart"/>
            <w:vAlign w:val="center"/>
          </w:tcPr>
          <w:p>
            <w:pPr>
              <w:spacing w:before="100" w:after="100"/>
              <w:jc w:val="center"/>
              <w:rPr>
                <w:color w:val="auto"/>
                <w:szCs w:val="21"/>
                <w:highlight w:val="none"/>
              </w:rPr>
            </w:pPr>
            <w:r>
              <w:rPr>
                <w:rFonts w:hint="eastAsia"/>
                <w:color w:val="auto"/>
                <w:szCs w:val="21"/>
                <w:highlight w:val="none"/>
              </w:rPr>
              <w:t>拉伸粘结强度</w:t>
            </w:r>
            <w:r>
              <w:rPr>
                <w:rFonts w:hint="eastAsia"/>
                <w:color w:val="auto"/>
                <w:szCs w:val="21"/>
                <w:highlight w:val="none"/>
                <w:lang w:eastAsia="zh-CN"/>
              </w:rPr>
              <w:t>（</w:t>
            </w:r>
            <w:r>
              <w:rPr>
                <w:color w:val="auto"/>
                <w:szCs w:val="21"/>
                <w:highlight w:val="none"/>
              </w:rPr>
              <w:t>MPa</w:t>
            </w:r>
            <w:r>
              <w:rPr>
                <w:rFonts w:hint="eastAsia"/>
                <w:color w:val="auto"/>
                <w:szCs w:val="21"/>
                <w:highlight w:val="none"/>
                <w:lang w:eastAsia="zh-CN"/>
              </w:rPr>
              <w:t>）</w:t>
            </w:r>
          </w:p>
        </w:tc>
        <w:tc>
          <w:tcPr>
            <w:tcW w:w="1497" w:type="pct"/>
            <w:gridSpan w:val="2"/>
            <w:vAlign w:val="center"/>
          </w:tcPr>
          <w:p>
            <w:pPr>
              <w:spacing w:before="100" w:after="100"/>
              <w:jc w:val="center"/>
              <w:rPr>
                <w:color w:val="auto"/>
                <w:szCs w:val="21"/>
                <w:highlight w:val="none"/>
              </w:rPr>
            </w:pPr>
            <w:r>
              <w:rPr>
                <w:rFonts w:hint="eastAsia"/>
                <w:color w:val="auto"/>
                <w:szCs w:val="21"/>
                <w:highlight w:val="none"/>
              </w:rPr>
              <w:t>原强度</w:t>
            </w:r>
          </w:p>
        </w:tc>
        <w:tc>
          <w:tcPr>
            <w:tcW w:w="1639" w:type="pct"/>
            <w:vAlign w:val="center"/>
          </w:tcPr>
          <w:p>
            <w:pPr>
              <w:spacing w:before="100" w:after="100"/>
              <w:jc w:val="center"/>
              <w:rPr>
                <w:color w:val="auto"/>
                <w:szCs w:val="21"/>
                <w:highlight w:val="none"/>
              </w:rPr>
            </w:pPr>
            <w:r>
              <w:rPr>
                <w:color w:val="auto"/>
                <w:szCs w:val="21"/>
                <w:highlight w:val="none"/>
              </w:rPr>
              <w:t>≥0.6</w:t>
            </w:r>
            <w:r>
              <w:rPr>
                <w:rFonts w:hint="eastAsia"/>
                <w:color w:val="auto"/>
                <w:szCs w:val="21"/>
                <w:highlight w:val="none"/>
              </w:rPr>
              <w:t>（与水泥砂浆）</w:t>
            </w:r>
          </w:p>
        </w:tc>
        <w:tc>
          <w:tcPr>
            <w:tcW w:w="706" w:type="pct"/>
            <w:vMerge w:val="restart"/>
            <w:vAlign w:val="center"/>
          </w:tcPr>
          <w:p>
            <w:pPr>
              <w:spacing w:before="100" w:after="100"/>
              <w:jc w:val="center"/>
              <w:rPr>
                <w:color w:val="auto"/>
                <w:szCs w:val="21"/>
                <w:highlight w:val="none"/>
              </w:rPr>
            </w:pPr>
            <w:r>
              <w:rPr>
                <w:color w:val="auto"/>
                <w:szCs w:val="21"/>
                <w:highlight w:val="none"/>
              </w:rPr>
              <w:t>GB/T 30593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7" w:hRule="atLeast"/>
        </w:trPr>
        <w:tc>
          <w:tcPr>
            <w:tcW w:w="1158" w:type="pct"/>
            <w:vMerge w:val="continue"/>
            <w:vAlign w:val="center"/>
          </w:tcPr>
          <w:p>
            <w:pPr>
              <w:spacing w:before="100" w:after="100"/>
              <w:jc w:val="center"/>
              <w:rPr>
                <w:color w:val="auto"/>
                <w:szCs w:val="21"/>
                <w:highlight w:val="none"/>
              </w:rPr>
            </w:pPr>
          </w:p>
        </w:tc>
        <w:tc>
          <w:tcPr>
            <w:tcW w:w="470" w:type="pct"/>
            <w:vMerge w:val="restart"/>
            <w:vAlign w:val="center"/>
          </w:tcPr>
          <w:p>
            <w:pPr>
              <w:spacing w:before="100" w:after="100"/>
              <w:jc w:val="center"/>
              <w:rPr>
                <w:color w:val="auto"/>
                <w:szCs w:val="21"/>
                <w:highlight w:val="none"/>
              </w:rPr>
            </w:pPr>
            <w:r>
              <w:rPr>
                <w:rFonts w:hint="eastAsia"/>
                <w:color w:val="auto"/>
                <w:szCs w:val="21"/>
                <w:highlight w:val="none"/>
              </w:rPr>
              <w:t>耐水</w:t>
            </w:r>
            <w:r>
              <w:rPr>
                <w:color w:val="auto"/>
                <w:szCs w:val="21"/>
                <w:highlight w:val="none"/>
              </w:rPr>
              <w:t>*</w:t>
            </w:r>
          </w:p>
        </w:tc>
        <w:tc>
          <w:tcPr>
            <w:tcW w:w="1027" w:type="pct"/>
            <w:vAlign w:val="center"/>
          </w:tcPr>
          <w:p>
            <w:pPr>
              <w:spacing w:before="100" w:after="100"/>
              <w:jc w:val="center"/>
              <w:rPr>
                <w:color w:val="auto"/>
                <w:szCs w:val="21"/>
                <w:highlight w:val="none"/>
              </w:rPr>
            </w:pPr>
            <w:r>
              <w:rPr>
                <w:rFonts w:hint="eastAsia"/>
                <w:color w:val="auto"/>
                <w:szCs w:val="21"/>
                <w:highlight w:val="none"/>
              </w:rPr>
              <w:t>浸水</w:t>
            </w:r>
            <w:r>
              <w:rPr>
                <w:color w:val="auto"/>
                <w:szCs w:val="21"/>
                <w:highlight w:val="none"/>
              </w:rPr>
              <w:t>2d</w:t>
            </w:r>
            <w:r>
              <w:rPr>
                <w:rFonts w:hint="eastAsia"/>
                <w:color w:val="auto"/>
                <w:szCs w:val="21"/>
                <w:highlight w:val="none"/>
              </w:rPr>
              <w:t>，干燥</w:t>
            </w:r>
            <w:r>
              <w:rPr>
                <w:color w:val="auto"/>
                <w:szCs w:val="21"/>
                <w:highlight w:val="none"/>
              </w:rPr>
              <w:t>2h</w:t>
            </w:r>
          </w:p>
        </w:tc>
        <w:tc>
          <w:tcPr>
            <w:tcW w:w="1639" w:type="pct"/>
            <w:vAlign w:val="center"/>
          </w:tcPr>
          <w:p>
            <w:pPr>
              <w:jc w:val="center"/>
              <w:rPr>
                <w:color w:val="auto"/>
                <w:highlight w:val="none"/>
              </w:rPr>
            </w:pPr>
            <w:r>
              <w:rPr>
                <w:color w:val="auto"/>
                <w:szCs w:val="21"/>
                <w:highlight w:val="none"/>
              </w:rPr>
              <w:t>≥0.3</w:t>
            </w:r>
            <w:r>
              <w:rPr>
                <w:rFonts w:hint="eastAsia"/>
                <w:color w:val="auto"/>
                <w:szCs w:val="21"/>
                <w:highlight w:val="none"/>
              </w:rPr>
              <w:t>（与水泥砂浆）</w:t>
            </w:r>
          </w:p>
        </w:tc>
        <w:tc>
          <w:tcPr>
            <w:tcW w:w="706" w:type="pct"/>
            <w:vMerge w:val="continue"/>
          </w:tcPr>
          <w:p>
            <w:pPr>
              <w:jc w:val="center"/>
              <w:rPr>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158" w:type="pct"/>
            <w:vMerge w:val="continue"/>
            <w:vAlign w:val="center"/>
          </w:tcPr>
          <w:p>
            <w:pPr>
              <w:spacing w:before="100" w:after="100"/>
              <w:jc w:val="center"/>
              <w:rPr>
                <w:color w:val="auto"/>
                <w:szCs w:val="21"/>
                <w:highlight w:val="none"/>
              </w:rPr>
            </w:pPr>
          </w:p>
        </w:tc>
        <w:tc>
          <w:tcPr>
            <w:tcW w:w="470" w:type="pct"/>
            <w:vMerge w:val="continue"/>
            <w:vAlign w:val="center"/>
          </w:tcPr>
          <w:p>
            <w:pPr>
              <w:spacing w:before="100" w:after="100"/>
              <w:jc w:val="center"/>
              <w:rPr>
                <w:color w:val="auto"/>
                <w:szCs w:val="21"/>
                <w:highlight w:val="none"/>
              </w:rPr>
            </w:pPr>
          </w:p>
        </w:tc>
        <w:tc>
          <w:tcPr>
            <w:tcW w:w="1027" w:type="pct"/>
            <w:vAlign w:val="center"/>
          </w:tcPr>
          <w:p>
            <w:pPr>
              <w:spacing w:before="100" w:after="100"/>
              <w:jc w:val="center"/>
              <w:rPr>
                <w:color w:val="auto"/>
                <w:szCs w:val="21"/>
                <w:highlight w:val="none"/>
              </w:rPr>
            </w:pPr>
            <w:r>
              <w:rPr>
                <w:rFonts w:hint="eastAsia"/>
                <w:color w:val="auto"/>
                <w:szCs w:val="21"/>
                <w:highlight w:val="none"/>
              </w:rPr>
              <w:t>浸水</w:t>
            </w:r>
            <w:r>
              <w:rPr>
                <w:color w:val="auto"/>
                <w:szCs w:val="21"/>
                <w:highlight w:val="none"/>
              </w:rPr>
              <w:t>2d</w:t>
            </w:r>
            <w:r>
              <w:rPr>
                <w:rFonts w:hint="eastAsia"/>
                <w:color w:val="auto"/>
                <w:szCs w:val="21"/>
                <w:highlight w:val="none"/>
              </w:rPr>
              <w:t>，干燥</w:t>
            </w:r>
            <w:r>
              <w:rPr>
                <w:color w:val="auto"/>
                <w:szCs w:val="21"/>
                <w:highlight w:val="none"/>
              </w:rPr>
              <w:t>7d</w:t>
            </w:r>
          </w:p>
        </w:tc>
        <w:tc>
          <w:tcPr>
            <w:tcW w:w="1639" w:type="pct"/>
            <w:vAlign w:val="center"/>
          </w:tcPr>
          <w:p>
            <w:pPr>
              <w:jc w:val="center"/>
              <w:rPr>
                <w:color w:val="auto"/>
                <w:highlight w:val="none"/>
              </w:rPr>
            </w:pPr>
            <w:r>
              <w:rPr>
                <w:color w:val="auto"/>
                <w:szCs w:val="21"/>
                <w:highlight w:val="none"/>
              </w:rPr>
              <w:t>≥0.6</w:t>
            </w:r>
            <w:r>
              <w:rPr>
                <w:rFonts w:hint="eastAsia"/>
                <w:color w:val="auto"/>
                <w:szCs w:val="21"/>
                <w:highlight w:val="none"/>
              </w:rPr>
              <w:t>（与水泥砂浆）</w:t>
            </w:r>
          </w:p>
        </w:tc>
        <w:tc>
          <w:tcPr>
            <w:tcW w:w="706" w:type="pct"/>
            <w:vMerge w:val="continue"/>
          </w:tcPr>
          <w:p>
            <w:pPr>
              <w:jc w:val="center"/>
              <w:rPr>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58" w:type="pct"/>
            <w:vMerge w:val="continue"/>
            <w:vAlign w:val="center"/>
          </w:tcPr>
          <w:p>
            <w:pPr>
              <w:spacing w:before="100" w:after="100"/>
              <w:jc w:val="center"/>
              <w:rPr>
                <w:color w:val="auto"/>
                <w:szCs w:val="21"/>
                <w:highlight w:val="none"/>
              </w:rPr>
            </w:pPr>
          </w:p>
        </w:tc>
        <w:tc>
          <w:tcPr>
            <w:tcW w:w="470" w:type="pct"/>
            <w:vMerge w:val="continue"/>
            <w:vAlign w:val="center"/>
          </w:tcPr>
          <w:p>
            <w:pPr>
              <w:spacing w:before="100" w:after="100"/>
              <w:jc w:val="center"/>
              <w:rPr>
                <w:color w:val="auto"/>
                <w:szCs w:val="21"/>
                <w:highlight w:val="none"/>
              </w:rPr>
            </w:pPr>
          </w:p>
        </w:tc>
        <w:tc>
          <w:tcPr>
            <w:tcW w:w="1027" w:type="pct"/>
            <w:vAlign w:val="center"/>
          </w:tcPr>
          <w:p>
            <w:pPr>
              <w:spacing w:before="100" w:after="100"/>
              <w:jc w:val="center"/>
              <w:rPr>
                <w:color w:val="auto"/>
                <w:szCs w:val="21"/>
                <w:highlight w:val="none"/>
              </w:rPr>
            </w:pPr>
            <w:r>
              <w:rPr>
                <w:rFonts w:hint="eastAsia"/>
                <w:color w:val="auto"/>
                <w:szCs w:val="21"/>
                <w:highlight w:val="none"/>
              </w:rPr>
              <w:t>浸水</w:t>
            </w:r>
            <w:r>
              <w:rPr>
                <w:color w:val="auto"/>
                <w:szCs w:val="21"/>
                <w:highlight w:val="none"/>
              </w:rPr>
              <w:t>2d</w:t>
            </w:r>
            <w:r>
              <w:rPr>
                <w:rFonts w:hint="eastAsia"/>
                <w:color w:val="auto"/>
                <w:szCs w:val="21"/>
                <w:highlight w:val="none"/>
              </w:rPr>
              <w:t>，干燥</w:t>
            </w:r>
            <w:r>
              <w:rPr>
                <w:color w:val="auto"/>
                <w:szCs w:val="21"/>
                <w:highlight w:val="none"/>
              </w:rPr>
              <w:t>7d</w:t>
            </w:r>
          </w:p>
        </w:tc>
        <w:tc>
          <w:tcPr>
            <w:tcW w:w="1639" w:type="pct"/>
            <w:vAlign w:val="center"/>
          </w:tcPr>
          <w:p>
            <w:pPr>
              <w:jc w:val="center"/>
              <w:rPr>
                <w:color w:val="auto"/>
                <w:highlight w:val="none"/>
              </w:rPr>
            </w:pPr>
            <w:r>
              <w:rPr>
                <w:color w:val="auto"/>
                <w:szCs w:val="21"/>
                <w:highlight w:val="none"/>
              </w:rPr>
              <w:t>≥0.10</w:t>
            </w:r>
            <w:r>
              <w:rPr>
                <w:rFonts w:hint="eastAsia"/>
                <w:color w:val="auto"/>
                <w:szCs w:val="21"/>
                <w:highlight w:val="none"/>
              </w:rPr>
              <w:t>（与复合板）</w:t>
            </w:r>
          </w:p>
        </w:tc>
        <w:tc>
          <w:tcPr>
            <w:tcW w:w="706" w:type="pct"/>
            <w:vMerge w:val="continue"/>
            <w:vAlign w:val="center"/>
          </w:tcPr>
          <w:p>
            <w:pPr>
              <w:jc w:val="center"/>
              <w:rPr>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55" w:type="pct"/>
            <w:gridSpan w:val="3"/>
            <w:vAlign w:val="center"/>
          </w:tcPr>
          <w:p>
            <w:pPr>
              <w:spacing w:before="100" w:after="100"/>
              <w:jc w:val="center"/>
              <w:rPr>
                <w:color w:val="auto"/>
                <w:szCs w:val="21"/>
                <w:highlight w:val="none"/>
              </w:rPr>
            </w:pPr>
            <w:r>
              <w:rPr>
                <w:rFonts w:hint="eastAsia"/>
                <w:color w:val="auto"/>
                <w:szCs w:val="21"/>
                <w:highlight w:val="none"/>
              </w:rPr>
              <w:t>可操作时间</w:t>
            </w:r>
            <w:r>
              <w:rPr>
                <w:rFonts w:hint="eastAsia"/>
                <w:color w:val="auto"/>
                <w:szCs w:val="21"/>
                <w:highlight w:val="none"/>
                <w:lang w:eastAsia="zh-CN"/>
              </w:rPr>
              <w:t>（</w:t>
            </w:r>
            <w:r>
              <w:rPr>
                <w:color w:val="auto"/>
                <w:szCs w:val="21"/>
                <w:highlight w:val="none"/>
              </w:rPr>
              <w:t>h</w:t>
            </w:r>
            <w:r>
              <w:rPr>
                <w:rFonts w:hint="eastAsia"/>
                <w:color w:val="auto"/>
                <w:szCs w:val="21"/>
                <w:highlight w:val="none"/>
                <w:lang w:eastAsia="zh-CN"/>
              </w:rPr>
              <w:t>）</w:t>
            </w:r>
          </w:p>
        </w:tc>
        <w:tc>
          <w:tcPr>
            <w:tcW w:w="1639" w:type="pct"/>
            <w:vAlign w:val="center"/>
          </w:tcPr>
          <w:p>
            <w:pPr>
              <w:spacing w:before="100" w:after="100"/>
              <w:jc w:val="center"/>
              <w:rPr>
                <w:color w:val="auto"/>
                <w:szCs w:val="21"/>
                <w:highlight w:val="none"/>
              </w:rPr>
            </w:pPr>
            <w:r>
              <w:rPr>
                <w:color w:val="auto"/>
                <w:szCs w:val="21"/>
                <w:highlight w:val="none"/>
              </w:rPr>
              <w:t xml:space="preserve">1.5-4.0 </w:t>
            </w:r>
          </w:p>
        </w:tc>
        <w:tc>
          <w:tcPr>
            <w:tcW w:w="706" w:type="pct"/>
            <w:vMerge w:val="continue"/>
          </w:tcPr>
          <w:p>
            <w:pPr>
              <w:spacing w:before="100" w:after="100"/>
              <w:jc w:val="center"/>
              <w:rPr>
                <w:color w:val="auto"/>
                <w:szCs w:val="21"/>
                <w:highlight w:val="none"/>
              </w:rPr>
            </w:pPr>
          </w:p>
        </w:tc>
      </w:tr>
    </w:tbl>
    <w:p>
      <w:pPr>
        <w:adjustRightInd w:val="0"/>
        <w:snapToGrid w:val="0"/>
        <w:jc w:val="left"/>
        <w:rPr>
          <w:rFonts w:hAnsi="宋体"/>
          <w:b/>
          <w:color w:val="auto"/>
          <w:sz w:val="24"/>
          <w:highlight w:val="none"/>
        </w:rPr>
      </w:pPr>
      <w:r>
        <w:rPr>
          <w:rFonts w:hint="eastAsia"/>
          <w:color w:val="auto"/>
          <w:szCs w:val="21"/>
          <w:highlight w:val="none"/>
        </w:rPr>
        <w:t>注：</w:t>
      </w:r>
      <w:r>
        <w:rPr>
          <w:color w:val="auto"/>
          <w:szCs w:val="21"/>
          <w:highlight w:val="none"/>
        </w:rPr>
        <w:t>*</w:t>
      </w:r>
      <w:r>
        <w:rPr>
          <w:rFonts w:hint="eastAsia"/>
          <w:color w:val="auto"/>
          <w:szCs w:val="21"/>
          <w:highlight w:val="none"/>
        </w:rPr>
        <w:t>用于厨房、卫生间等潮湿环境时，要求此指标。</w:t>
      </w:r>
    </w:p>
    <w:p>
      <w:pPr>
        <w:adjustRightInd w:val="0"/>
        <w:snapToGrid w:val="0"/>
        <w:jc w:val="left"/>
        <w:rPr>
          <w:rFonts w:hAnsi="宋体"/>
          <w:b/>
          <w:color w:val="auto"/>
          <w:sz w:val="24"/>
          <w:highlight w:val="none"/>
        </w:rPr>
      </w:pPr>
    </w:p>
    <w:p>
      <w:pPr>
        <w:snapToGrid w:val="0"/>
        <w:spacing w:line="360" w:lineRule="auto"/>
        <w:outlineLvl w:val="2"/>
        <w:rPr>
          <w:color w:val="auto"/>
          <w:sz w:val="24"/>
          <w:highlight w:val="none"/>
        </w:rPr>
      </w:pPr>
      <w:r>
        <w:rPr>
          <w:rFonts w:hint="eastAsia"/>
          <w:b/>
          <w:color w:val="auto"/>
          <w:sz w:val="24"/>
          <w:highlight w:val="none"/>
        </w:rPr>
        <w:t>4.3.</w:t>
      </w:r>
      <w:r>
        <w:rPr>
          <w:rFonts w:hint="eastAsia"/>
          <w:b/>
          <w:color w:val="auto"/>
          <w:sz w:val="24"/>
          <w:highlight w:val="none"/>
          <w:lang w:val="en-US" w:eastAsia="zh-CN"/>
        </w:rPr>
        <w:t xml:space="preserve">9 </w:t>
      </w:r>
      <w:r>
        <w:rPr>
          <w:rFonts w:hint="eastAsia"/>
          <w:color w:val="auto"/>
          <w:sz w:val="24"/>
          <w:highlight w:val="none"/>
        </w:rPr>
        <w:t>粘结石膏的性能应符合表4.3.</w:t>
      </w:r>
      <w:r>
        <w:rPr>
          <w:rFonts w:hint="eastAsia"/>
          <w:color w:val="auto"/>
          <w:sz w:val="24"/>
          <w:highlight w:val="none"/>
          <w:lang w:val="en-US" w:eastAsia="zh-CN"/>
        </w:rPr>
        <w:t>9</w:t>
      </w:r>
      <w:r>
        <w:rPr>
          <w:rFonts w:hint="eastAsia"/>
          <w:color w:val="auto"/>
          <w:sz w:val="24"/>
          <w:highlight w:val="none"/>
        </w:rPr>
        <w:t>的规定。</w:t>
      </w:r>
    </w:p>
    <w:p>
      <w:pPr>
        <w:snapToGrid w:val="0"/>
        <w:jc w:val="center"/>
        <w:rPr>
          <w:color w:val="auto"/>
          <w:szCs w:val="21"/>
          <w:highlight w:val="none"/>
        </w:rPr>
      </w:pPr>
      <w:r>
        <w:rPr>
          <w:rFonts w:hint="eastAsia" w:hAnsi="宋体"/>
          <w:b/>
          <w:color w:val="auto"/>
          <w:szCs w:val="21"/>
          <w:highlight w:val="none"/>
        </w:rPr>
        <w:t>表4.3.</w:t>
      </w:r>
      <w:r>
        <w:rPr>
          <w:rFonts w:hint="eastAsia" w:hAnsi="宋体"/>
          <w:b/>
          <w:color w:val="auto"/>
          <w:szCs w:val="21"/>
          <w:highlight w:val="none"/>
          <w:lang w:val="en-US" w:eastAsia="zh-CN"/>
        </w:rPr>
        <w:t>9</w:t>
      </w:r>
      <w:r>
        <w:rPr>
          <w:rFonts w:hint="eastAsia"/>
          <w:b/>
          <w:color w:val="auto"/>
          <w:szCs w:val="21"/>
          <w:highlight w:val="none"/>
        </w:rPr>
        <w:t>粘结石膏</w:t>
      </w:r>
      <w:r>
        <w:rPr>
          <w:rFonts w:hint="eastAsia" w:hAnsi="宋体"/>
          <w:b/>
          <w:color w:val="auto"/>
          <w:szCs w:val="21"/>
          <w:highlight w:val="none"/>
        </w:rPr>
        <w:t>性能指标</w:t>
      </w:r>
    </w:p>
    <w:tbl>
      <w:tblPr>
        <w:tblStyle w:val="24"/>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9"/>
        <w:gridCol w:w="1648"/>
        <w:gridCol w:w="1323"/>
        <w:gridCol w:w="2125"/>
        <w:gridCol w:w="1829"/>
        <w:gridCol w:w="1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424" w:type="pct"/>
            <w:vAlign w:val="center"/>
          </w:tcPr>
          <w:p>
            <w:pPr>
              <w:spacing w:before="100" w:after="100"/>
              <w:jc w:val="center"/>
              <w:rPr>
                <w:color w:val="auto"/>
                <w:szCs w:val="21"/>
                <w:highlight w:val="none"/>
              </w:rPr>
            </w:pPr>
            <w:r>
              <w:rPr>
                <w:rFonts w:hint="eastAsia"/>
                <w:color w:val="auto"/>
                <w:szCs w:val="21"/>
                <w:highlight w:val="none"/>
              </w:rPr>
              <w:t>序号</w:t>
            </w:r>
          </w:p>
        </w:tc>
        <w:tc>
          <w:tcPr>
            <w:tcW w:w="2808" w:type="pct"/>
            <w:gridSpan w:val="3"/>
            <w:vAlign w:val="center"/>
          </w:tcPr>
          <w:p>
            <w:pPr>
              <w:spacing w:before="100" w:after="100"/>
              <w:jc w:val="center"/>
              <w:rPr>
                <w:color w:val="auto"/>
                <w:szCs w:val="21"/>
                <w:highlight w:val="none"/>
              </w:rPr>
            </w:pPr>
            <w:r>
              <w:rPr>
                <w:rFonts w:hint="eastAsia"/>
                <w:color w:val="auto"/>
                <w:szCs w:val="21"/>
                <w:highlight w:val="none"/>
              </w:rPr>
              <w:t>项目</w:t>
            </w:r>
          </w:p>
        </w:tc>
        <w:tc>
          <w:tcPr>
            <w:tcW w:w="1008" w:type="pct"/>
            <w:vAlign w:val="center"/>
          </w:tcPr>
          <w:p>
            <w:pPr>
              <w:spacing w:before="100" w:after="100"/>
              <w:jc w:val="center"/>
              <w:rPr>
                <w:color w:val="auto"/>
                <w:szCs w:val="21"/>
                <w:highlight w:val="none"/>
              </w:rPr>
            </w:pPr>
            <w:r>
              <w:rPr>
                <w:rFonts w:hint="eastAsia"/>
                <w:color w:val="auto"/>
                <w:szCs w:val="21"/>
                <w:highlight w:val="none"/>
              </w:rPr>
              <w:t>性能指标</w:t>
            </w:r>
          </w:p>
        </w:tc>
        <w:tc>
          <w:tcPr>
            <w:tcW w:w="759" w:type="pct"/>
            <w:vAlign w:val="center"/>
          </w:tcPr>
          <w:p>
            <w:pPr>
              <w:spacing w:before="100" w:after="100"/>
              <w:jc w:val="center"/>
              <w:rPr>
                <w:color w:val="auto"/>
                <w:szCs w:val="21"/>
                <w:highlight w:val="none"/>
              </w:rPr>
            </w:pPr>
            <w:r>
              <w:rPr>
                <w:rFonts w:hint="eastAsia"/>
                <w:color w:val="auto"/>
                <w:szCs w:val="21"/>
                <w:highlight w:val="none"/>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424" w:type="pct"/>
            <w:vMerge w:val="restart"/>
            <w:vAlign w:val="center"/>
          </w:tcPr>
          <w:p>
            <w:pPr>
              <w:spacing w:before="100" w:after="100"/>
              <w:jc w:val="center"/>
              <w:rPr>
                <w:color w:val="auto"/>
                <w:szCs w:val="21"/>
                <w:highlight w:val="none"/>
              </w:rPr>
            </w:pPr>
            <w:r>
              <w:rPr>
                <w:color w:val="auto"/>
                <w:szCs w:val="21"/>
                <w:highlight w:val="none"/>
              </w:rPr>
              <w:t>1</w:t>
            </w:r>
          </w:p>
        </w:tc>
        <w:tc>
          <w:tcPr>
            <w:tcW w:w="908" w:type="pct"/>
            <w:vMerge w:val="restart"/>
            <w:vAlign w:val="center"/>
          </w:tcPr>
          <w:p>
            <w:pPr>
              <w:spacing w:before="100" w:after="100"/>
              <w:jc w:val="center"/>
              <w:rPr>
                <w:color w:val="auto"/>
                <w:szCs w:val="21"/>
                <w:highlight w:val="none"/>
              </w:rPr>
            </w:pPr>
            <w:r>
              <w:rPr>
                <w:rFonts w:hint="eastAsia"/>
                <w:color w:val="auto"/>
                <w:szCs w:val="21"/>
                <w:highlight w:val="none"/>
              </w:rPr>
              <w:t>细度</w:t>
            </w:r>
          </w:p>
        </w:tc>
        <w:tc>
          <w:tcPr>
            <w:tcW w:w="1899" w:type="pct"/>
            <w:gridSpan w:val="2"/>
            <w:vAlign w:val="center"/>
          </w:tcPr>
          <w:p>
            <w:pPr>
              <w:spacing w:before="100" w:after="100"/>
              <w:jc w:val="center"/>
              <w:rPr>
                <w:color w:val="auto"/>
                <w:szCs w:val="21"/>
                <w:highlight w:val="none"/>
              </w:rPr>
            </w:pPr>
            <w:r>
              <w:rPr>
                <w:color w:val="auto"/>
                <w:szCs w:val="21"/>
                <w:highlight w:val="none"/>
              </w:rPr>
              <w:t>1.18mm</w:t>
            </w:r>
            <w:r>
              <w:rPr>
                <w:rFonts w:hint="eastAsia"/>
                <w:color w:val="auto"/>
                <w:szCs w:val="21"/>
                <w:highlight w:val="none"/>
              </w:rPr>
              <w:t>筛网筛余</w:t>
            </w:r>
            <w:r>
              <w:rPr>
                <w:rFonts w:hint="eastAsia"/>
                <w:color w:val="auto"/>
                <w:szCs w:val="21"/>
                <w:highlight w:val="none"/>
                <w:lang w:eastAsia="zh-CN"/>
              </w:rPr>
              <w:t>（</w:t>
            </w:r>
            <w:r>
              <w:rPr>
                <w:color w:val="auto"/>
                <w:szCs w:val="21"/>
                <w:highlight w:val="none"/>
              </w:rPr>
              <w:t>%</w:t>
            </w:r>
            <w:r>
              <w:rPr>
                <w:rFonts w:hint="eastAsia"/>
                <w:color w:val="auto"/>
                <w:szCs w:val="21"/>
                <w:highlight w:val="none"/>
                <w:lang w:eastAsia="zh-CN"/>
              </w:rPr>
              <w:t>）</w:t>
            </w:r>
          </w:p>
        </w:tc>
        <w:tc>
          <w:tcPr>
            <w:tcW w:w="1008" w:type="pct"/>
            <w:vAlign w:val="center"/>
          </w:tcPr>
          <w:p>
            <w:pPr>
              <w:spacing w:before="100" w:after="100"/>
              <w:jc w:val="center"/>
              <w:rPr>
                <w:color w:val="auto"/>
                <w:szCs w:val="21"/>
                <w:highlight w:val="none"/>
              </w:rPr>
            </w:pPr>
            <w:r>
              <w:rPr>
                <w:color w:val="auto"/>
                <w:szCs w:val="21"/>
                <w:highlight w:val="none"/>
              </w:rPr>
              <w:t>0</w:t>
            </w:r>
          </w:p>
        </w:tc>
        <w:tc>
          <w:tcPr>
            <w:tcW w:w="759" w:type="pct"/>
            <w:vMerge w:val="restart"/>
            <w:vAlign w:val="center"/>
          </w:tcPr>
          <w:p>
            <w:pPr>
              <w:spacing w:before="100" w:after="100"/>
              <w:jc w:val="center"/>
              <w:rPr>
                <w:color w:val="auto"/>
                <w:szCs w:val="21"/>
                <w:highlight w:val="none"/>
              </w:rPr>
            </w:pPr>
            <w:r>
              <w:rPr>
                <w:color w:val="auto"/>
                <w:szCs w:val="21"/>
                <w:highlight w:val="none"/>
              </w:rPr>
              <w:t>JC/T</w:t>
            </w:r>
            <w:r>
              <w:rPr>
                <w:rFonts w:hint="eastAsia"/>
                <w:color w:val="auto"/>
                <w:szCs w:val="21"/>
                <w:highlight w:val="none"/>
                <w:lang w:val="en-US" w:eastAsia="zh-CN"/>
              </w:rPr>
              <w:t xml:space="preserve"> </w:t>
            </w:r>
            <w:r>
              <w:rPr>
                <w:color w:val="auto"/>
                <w:szCs w:val="21"/>
                <w:highlight w:val="none"/>
              </w:rPr>
              <w:t>1025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424" w:type="pct"/>
            <w:vMerge w:val="continue"/>
            <w:vAlign w:val="center"/>
          </w:tcPr>
          <w:p>
            <w:pPr>
              <w:spacing w:before="100" w:after="100"/>
              <w:jc w:val="center"/>
              <w:rPr>
                <w:color w:val="auto"/>
                <w:szCs w:val="21"/>
                <w:highlight w:val="none"/>
              </w:rPr>
            </w:pPr>
          </w:p>
        </w:tc>
        <w:tc>
          <w:tcPr>
            <w:tcW w:w="908" w:type="pct"/>
            <w:vMerge w:val="continue"/>
            <w:vAlign w:val="center"/>
          </w:tcPr>
          <w:p>
            <w:pPr>
              <w:spacing w:before="100" w:after="100"/>
              <w:jc w:val="center"/>
              <w:rPr>
                <w:color w:val="auto"/>
                <w:szCs w:val="21"/>
                <w:highlight w:val="none"/>
              </w:rPr>
            </w:pPr>
          </w:p>
        </w:tc>
        <w:tc>
          <w:tcPr>
            <w:tcW w:w="1899" w:type="pct"/>
            <w:gridSpan w:val="2"/>
            <w:vAlign w:val="center"/>
          </w:tcPr>
          <w:p>
            <w:pPr>
              <w:spacing w:before="100" w:after="100"/>
              <w:jc w:val="center"/>
              <w:rPr>
                <w:color w:val="auto"/>
                <w:szCs w:val="21"/>
                <w:highlight w:val="none"/>
              </w:rPr>
            </w:pPr>
            <w:r>
              <w:rPr>
                <w:color w:val="auto"/>
                <w:szCs w:val="21"/>
                <w:highlight w:val="none"/>
              </w:rPr>
              <w:t>150μm</w:t>
            </w:r>
            <w:r>
              <w:rPr>
                <w:rFonts w:hint="eastAsia"/>
                <w:color w:val="auto"/>
                <w:szCs w:val="21"/>
                <w:highlight w:val="none"/>
              </w:rPr>
              <w:t>筛网筛余</w:t>
            </w:r>
            <w:r>
              <w:rPr>
                <w:rFonts w:hint="eastAsia"/>
                <w:color w:val="auto"/>
                <w:szCs w:val="21"/>
                <w:highlight w:val="none"/>
                <w:lang w:eastAsia="zh-CN"/>
              </w:rPr>
              <w:t>（</w:t>
            </w:r>
            <w:r>
              <w:rPr>
                <w:color w:val="auto"/>
                <w:szCs w:val="21"/>
                <w:highlight w:val="none"/>
              </w:rPr>
              <w:t>%</w:t>
            </w:r>
            <w:r>
              <w:rPr>
                <w:rFonts w:hint="eastAsia"/>
                <w:color w:val="auto"/>
                <w:szCs w:val="21"/>
                <w:highlight w:val="none"/>
                <w:lang w:eastAsia="zh-CN"/>
              </w:rPr>
              <w:t>）</w:t>
            </w:r>
          </w:p>
        </w:tc>
        <w:tc>
          <w:tcPr>
            <w:tcW w:w="1008" w:type="pct"/>
            <w:vAlign w:val="center"/>
          </w:tcPr>
          <w:p>
            <w:pPr>
              <w:spacing w:before="100" w:after="100"/>
              <w:jc w:val="center"/>
              <w:rPr>
                <w:color w:val="auto"/>
                <w:szCs w:val="21"/>
                <w:highlight w:val="none"/>
              </w:rPr>
            </w:pPr>
            <w:r>
              <w:rPr>
                <w:color w:val="auto"/>
                <w:szCs w:val="21"/>
                <w:highlight w:val="none"/>
              </w:rPr>
              <w:t>≤25</w:t>
            </w:r>
          </w:p>
        </w:tc>
        <w:tc>
          <w:tcPr>
            <w:tcW w:w="759" w:type="pct"/>
            <w:vMerge w:val="continue"/>
            <w:vAlign w:val="center"/>
          </w:tcPr>
          <w:p>
            <w:pPr>
              <w:spacing w:before="100" w:after="100"/>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424" w:type="pct"/>
            <w:vMerge w:val="restart"/>
            <w:vAlign w:val="center"/>
          </w:tcPr>
          <w:p>
            <w:pPr>
              <w:spacing w:before="100" w:after="100"/>
              <w:jc w:val="center"/>
              <w:rPr>
                <w:color w:val="auto"/>
                <w:szCs w:val="21"/>
                <w:highlight w:val="none"/>
              </w:rPr>
            </w:pPr>
            <w:r>
              <w:rPr>
                <w:color w:val="auto"/>
                <w:szCs w:val="21"/>
                <w:highlight w:val="none"/>
              </w:rPr>
              <w:t>2</w:t>
            </w:r>
          </w:p>
        </w:tc>
        <w:tc>
          <w:tcPr>
            <w:tcW w:w="908" w:type="pct"/>
            <w:vMerge w:val="restart"/>
            <w:vAlign w:val="center"/>
          </w:tcPr>
          <w:p>
            <w:pPr>
              <w:spacing w:before="100" w:after="100"/>
              <w:jc w:val="center"/>
              <w:rPr>
                <w:color w:val="auto"/>
                <w:szCs w:val="21"/>
                <w:highlight w:val="none"/>
              </w:rPr>
            </w:pPr>
            <w:r>
              <w:rPr>
                <w:rFonts w:hint="eastAsia"/>
                <w:color w:val="auto"/>
                <w:szCs w:val="21"/>
                <w:highlight w:val="none"/>
              </w:rPr>
              <w:t>凝结时间</w:t>
            </w:r>
          </w:p>
        </w:tc>
        <w:tc>
          <w:tcPr>
            <w:tcW w:w="1899" w:type="pct"/>
            <w:gridSpan w:val="2"/>
            <w:vAlign w:val="center"/>
          </w:tcPr>
          <w:p>
            <w:pPr>
              <w:spacing w:before="100" w:after="100"/>
              <w:jc w:val="center"/>
              <w:rPr>
                <w:color w:val="auto"/>
                <w:szCs w:val="21"/>
                <w:highlight w:val="none"/>
              </w:rPr>
            </w:pPr>
            <w:r>
              <w:rPr>
                <w:rFonts w:hint="eastAsia"/>
                <w:color w:val="auto"/>
                <w:szCs w:val="21"/>
                <w:highlight w:val="none"/>
              </w:rPr>
              <w:t>初凝</w:t>
            </w:r>
            <w:r>
              <w:rPr>
                <w:rFonts w:hint="eastAsia"/>
                <w:color w:val="auto"/>
                <w:szCs w:val="21"/>
                <w:highlight w:val="none"/>
                <w:lang w:eastAsia="zh-CN"/>
              </w:rPr>
              <w:t>（</w:t>
            </w:r>
            <w:r>
              <w:rPr>
                <w:color w:val="auto"/>
                <w:szCs w:val="21"/>
                <w:highlight w:val="none"/>
              </w:rPr>
              <w:t>min</w:t>
            </w:r>
            <w:r>
              <w:rPr>
                <w:rFonts w:hint="eastAsia"/>
                <w:color w:val="auto"/>
                <w:szCs w:val="21"/>
                <w:highlight w:val="none"/>
                <w:lang w:eastAsia="zh-CN"/>
              </w:rPr>
              <w:t>）</w:t>
            </w:r>
          </w:p>
        </w:tc>
        <w:tc>
          <w:tcPr>
            <w:tcW w:w="1008" w:type="pct"/>
            <w:vAlign w:val="center"/>
          </w:tcPr>
          <w:p>
            <w:pPr>
              <w:spacing w:before="100" w:after="100"/>
              <w:jc w:val="center"/>
              <w:rPr>
                <w:color w:val="auto"/>
                <w:szCs w:val="21"/>
                <w:highlight w:val="none"/>
              </w:rPr>
            </w:pPr>
            <w:r>
              <w:rPr>
                <w:color w:val="auto"/>
                <w:highlight w:val="none"/>
                <w:lang w:val="de-DE"/>
              </w:rPr>
              <w:t>≥25</w:t>
            </w:r>
          </w:p>
        </w:tc>
        <w:tc>
          <w:tcPr>
            <w:tcW w:w="759" w:type="pct"/>
            <w:vMerge w:val="restart"/>
            <w:vAlign w:val="center"/>
          </w:tcPr>
          <w:p>
            <w:pPr>
              <w:spacing w:before="100" w:after="100"/>
              <w:jc w:val="center"/>
              <w:rPr>
                <w:color w:val="auto"/>
                <w:szCs w:val="21"/>
                <w:highlight w:val="none"/>
              </w:rPr>
            </w:pPr>
            <w:r>
              <w:rPr>
                <w:color w:val="auto"/>
                <w:szCs w:val="21"/>
                <w:highlight w:val="none"/>
              </w:rPr>
              <w:t>JC/T</w:t>
            </w:r>
            <w:r>
              <w:rPr>
                <w:rFonts w:hint="eastAsia"/>
                <w:color w:val="auto"/>
                <w:szCs w:val="21"/>
                <w:highlight w:val="none"/>
                <w:lang w:val="en-US" w:eastAsia="zh-CN"/>
              </w:rPr>
              <w:t xml:space="preserve"> </w:t>
            </w:r>
            <w:r>
              <w:rPr>
                <w:color w:val="auto"/>
                <w:szCs w:val="21"/>
                <w:highlight w:val="none"/>
              </w:rPr>
              <w:t>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424" w:type="pct"/>
            <w:vMerge w:val="continue"/>
            <w:vAlign w:val="center"/>
          </w:tcPr>
          <w:p>
            <w:pPr>
              <w:spacing w:before="100" w:after="100"/>
              <w:jc w:val="center"/>
              <w:rPr>
                <w:color w:val="auto"/>
                <w:szCs w:val="21"/>
                <w:highlight w:val="none"/>
              </w:rPr>
            </w:pPr>
          </w:p>
        </w:tc>
        <w:tc>
          <w:tcPr>
            <w:tcW w:w="908" w:type="pct"/>
            <w:vMerge w:val="continue"/>
            <w:vAlign w:val="center"/>
          </w:tcPr>
          <w:p>
            <w:pPr>
              <w:spacing w:before="100" w:after="100"/>
              <w:jc w:val="center"/>
              <w:rPr>
                <w:color w:val="auto"/>
                <w:szCs w:val="21"/>
                <w:highlight w:val="none"/>
              </w:rPr>
            </w:pPr>
          </w:p>
        </w:tc>
        <w:tc>
          <w:tcPr>
            <w:tcW w:w="1899" w:type="pct"/>
            <w:gridSpan w:val="2"/>
            <w:vAlign w:val="center"/>
          </w:tcPr>
          <w:p>
            <w:pPr>
              <w:spacing w:before="100" w:after="100"/>
              <w:jc w:val="center"/>
              <w:rPr>
                <w:color w:val="auto"/>
                <w:szCs w:val="21"/>
                <w:highlight w:val="none"/>
              </w:rPr>
            </w:pPr>
            <w:r>
              <w:rPr>
                <w:rFonts w:hint="eastAsia"/>
                <w:color w:val="auto"/>
                <w:szCs w:val="21"/>
                <w:highlight w:val="none"/>
              </w:rPr>
              <w:t>终凝</w:t>
            </w:r>
            <w:r>
              <w:rPr>
                <w:rFonts w:hint="eastAsia"/>
                <w:color w:val="auto"/>
                <w:szCs w:val="21"/>
                <w:highlight w:val="none"/>
                <w:lang w:eastAsia="zh-CN"/>
              </w:rPr>
              <w:t>（</w:t>
            </w:r>
            <w:r>
              <w:rPr>
                <w:color w:val="auto"/>
                <w:szCs w:val="21"/>
                <w:highlight w:val="none"/>
              </w:rPr>
              <w:t>min</w:t>
            </w:r>
            <w:r>
              <w:rPr>
                <w:rFonts w:hint="eastAsia"/>
                <w:color w:val="auto"/>
                <w:szCs w:val="21"/>
                <w:highlight w:val="none"/>
                <w:lang w:eastAsia="zh-CN"/>
              </w:rPr>
              <w:t>）</w:t>
            </w:r>
          </w:p>
        </w:tc>
        <w:tc>
          <w:tcPr>
            <w:tcW w:w="1008" w:type="pct"/>
            <w:vAlign w:val="center"/>
          </w:tcPr>
          <w:p>
            <w:pPr>
              <w:spacing w:before="100" w:after="100"/>
              <w:jc w:val="center"/>
              <w:rPr>
                <w:color w:val="auto"/>
                <w:szCs w:val="21"/>
                <w:highlight w:val="none"/>
              </w:rPr>
            </w:pPr>
            <w:r>
              <w:rPr>
                <w:color w:val="auto"/>
                <w:szCs w:val="21"/>
                <w:highlight w:val="none"/>
              </w:rPr>
              <w:t>≤120</w:t>
            </w:r>
          </w:p>
        </w:tc>
        <w:tc>
          <w:tcPr>
            <w:tcW w:w="759" w:type="pct"/>
            <w:vMerge w:val="continue"/>
            <w:vAlign w:val="center"/>
          </w:tcPr>
          <w:p>
            <w:pPr>
              <w:spacing w:before="100" w:after="100"/>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424" w:type="pct"/>
            <w:vAlign w:val="center"/>
          </w:tcPr>
          <w:p>
            <w:pPr>
              <w:spacing w:before="100" w:after="100"/>
              <w:jc w:val="center"/>
              <w:rPr>
                <w:color w:val="auto"/>
                <w:szCs w:val="21"/>
                <w:highlight w:val="none"/>
              </w:rPr>
            </w:pPr>
            <w:r>
              <w:rPr>
                <w:color w:val="auto"/>
                <w:szCs w:val="21"/>
                <w:highlight w:val="none"/>
              </w:rPr>
              <w:t>3</w:t>
            </w:r>
          </w:p>
        </w:tc>
        <w:tc>
          <w:tcPr>
            <w:tcW w:w="2808" w:type="pct"/>
            <w:gridSpan w:val="3"/>
            <w:vAlign w:val="center"/>
          </w:tcPr>
          <w:p>
            <w:pPr>
              <w:spacing w:before="100" w:after="100"/>
              <w:jc w:val="center"/>
              <w:rPr>
                <w:color w:val="auto"/>
                <w:szCs w:val="21"/>
                <w:highlight w:val="none"/>
              </w:rPr>
            </w:pPr>
            <w:r>
              <w:rPr>
                <w:rFonts w:hint="eastAsia"/>
                <w:color w:val="auto"/>
                <w:szCs w:val="21"/>
                <w:highlight w:val="none"/>
              </w:rPr>
              <w:t>抗折强度</w:t>
            </w:r>
            <w:r>
              <w:rPr>
                <w:rFonts w:hint="eastAsia"/>
                <w:color w:val="auto"/>
                <w:szCs w:val="21"/>
                <w:highlight w:val="none"/>
                <w:lang w:eastAsia="zh-CN"/>
              </w:rPr>
              <w:t>（</w:t>
            </w:r>
            <w:r>
              <w:rPr>
                <w:color w:val="auto"/>
                <w:szCs w:val="21"/>
                <w:highlight w:val="none"/>
              </w:rPr>
              <w:t>MPa</w:t>
            </w:r>
            <w:r>
              <w:rPr>
                <w:rFonts w:hint="eastAsia"/>
                <w:color w:val="auto"/>
                <w:szCs w:val="21"/>
                <w:highlight w:val="none"/>
                <w:lang w:eastAsia="zh-CN"/>
              </w:rPr>
              <w:t>）</w:t>
            </w:r>
          </w:p>
        </w:tc>
        <w:tc>
          <w:tcPr>
            <w:tcW w:w="1008" w:type="pct"/>
            <w:vAlign w:val="center"/>
          </w:tcPr>
          <w:p>
            <w:pPr>
              <w:spacing w:before="100" w:after="100"/>
              <w:jc w:val="center"/>
              <w:rPr>
                <w:color w:val="auto"/>
                <w:szCs w:val="21"/>
                <w:highlight w:val="none"/>
              </w:rPr>
            </w:pPr>
            <w:r>
              <w:rPr>
                <w:color w:val="auto"/>
                <w:highlight w:val="none"/>
                <w:lang w:val="de-DE"/>
              </w:rPr>
              <w:t>≥5</w:t>
            </w:r>
          </w:p>
        </w:tc>
        <w:tc>
          <w:tcPr>
            <w:tcW w:w="759" w:type="pct"/>
            <w:vAlign w:val="center"/>
          </w:tcPr>
          <w:p>
            <w:pPr>
              <w:spacing w:before="100" w:after="100"/>
              <w:jc w:val="center"/>
              <w:rPr>
                <w:color w:val="auto"/>
                <w:szCs w:val="21"/>
                <w:highlight w:val="none"/>
              </w:rPr>
            </w:pPr>
            <w:r>
              <w:rPr>
                <w:color w:val="auto"/>
                <w:szCs w:val="21"/>
                <w:highlight w:val="none"/>
              </w:rPr>
              <w:t>JC/T</w:t>
            </w:r>
            <w:r>
              <w:rPr>
                <w:rFonts w:hint="eastAsia"/>
                <w:color w:val="auto"/>
                <w:szCs w:val="21"/>
                <w:highlight w:val="none"/>
                <w:lang w:val="en-US" w:eastAsia="zh-CN"/>
              </w:rPr>
              <w:t xml:space="preserve"> </w:t>
            </w:r>
            <w:r>
              <w:rPr>
                <w:color w:val="auto"/>
                <w:szCs w:val="21"/>
                <w:highlight w:val="none"/>
              </w:rPr>
              <w:t>1025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424" w:type="pct"/>
            <w:vAlign w:val="center"/>
          </w:tcPr>
          <w:p>
            <w:pPr>
              <w:spacing w:before="100" w:after="100"/>
              <w:jc w:val="center"/>
              <w:rPr>
                <w:color w:val="auto"/>
                <w:szCs w:val="21"/>
                <w:highlight w:val="none"/>
              </w:rPr>
            </w:pPr>
            <w:r>
              <w:rPr>
                <w:color w:val="auto"/>
                <w:szCs w:val="21"/>
                <w:highlight w:val="none"/>
              </w:rPr>
              <w:t>4</w:t>
            </w:r>
          </w:p>
        </w:tc>
        <w:tc>
          <w:tcPr>
            <w:tcW w:w="2808" w:type="pct"/>
            <w:gridSpan w:val="3"/>
            <w:vAlign w:val="center"/>
          </w:tcPr>
          <w:p>
            <w:pPr>
              <w:spacing w:before="100" w:after="100"/>
              <w:jc w:val="center"/>
              <w:rPr>
                <w:color w:val="auto"/>
                <w:szCs w:val="21"/>
                <w:highlight w:val="none"/>
              </w:rPr>
            </w:pPr>
            <w:r>
              <w:rPr>
                <w:rFonts w:hint="eastAsia"/>
                <w:color w:val="auto"/>
                <w:szCs w:val="21"/>
                <w:highlight w:val="none"/>
              </w:rPr>
              <w:t>抗压强度</w:t>
            </w:r>
            <w:r>
              <w:rPr>
                <w:rFonts w:hint="eastAsia"/>
                <w:color w:val="auto"/>
                <w:szCs w:val="21"/>
                <w:highlight w:val="none"/>
                <w:lang w:eastAsia="zh-CN"/>
              </w:rPr>
              <w:t>（</w:t>
            </w:r>
            <w:r>
              <w:rPr>
                <w:color w:val="auto"/>
                <w:szCs w:val="21"/>
                <w:highlight w:val="none"/>
              </w:rPr>
              <w:t>MPa</w:t>
            </w:r>
            <w:r>
              <w:rPr>
                <w:rFonts w:hint="eastAsia"/>
                <w:color w:val="auto"/>
                <w:szCs w:val="21"/>
                <w:highlight w:val="none"/>
                <w:lang w:eastAsia="zh-CN"/>
              </w:rPr>
              <w:t>）</w:t>
            </w:r>
          </w:p>
        </w:tc>
        <w:tc>
          <w:tcPr>
            <w:tcW w:w="1008" w:type="pct"/>
            <w:vAlign w:val="center"/>
          </w:tcPr>
          <w:p>
            <w:pPr>
              <w:spacing w:before="100" w:after="100"/>
              <w:jc w:val="center"/>
              <w:rPr>
                <w:color w:val="auto"/>
                <w:szCs w:val="21"/>
                <w:highlight w:val="none"/>
              </w:rPr>
            </w:pPr>
            <w:r>
              <w:rPr>
                <w:color w:val="auto"/>
                <w:highlight w:val="none"/>
                <w:lang w:val="de-DE"/>
              </w:rPr>
              <w:t>≥10</w:t>
            </w:r>
          </w:p>
        </w:tc>
        <w:tc>
          <w:tcPr>
            <w:tcW w:w="759" w:type="pct"/>
            <w:vAlign w:val="center"/>
          </w:tcPr>
          <w:p>
            <w:pPr>
              <w:spacing w:before="100" w:after="100"/>
              <w:jc w:val="center"/>
              <w:rPr>
                <w:color w:val="auto"/>
                <w:szCs w:val="21"/>
                <w:highlight w:val="none"/>
              </w:rPr>
            </w:pPr>
            <w:r>
              <w:rPr>
                <w:color w:val="auto"/>
                <w:szCs w:val="21"/>
                <w:highlight w:val="none"/>
              </w:rPr>
              <w:t>JC/T</w:t>
            </w:r>
            <w:r>
              <w:rPr>
                <w:rFonts w:hint="eastAsia"/>
                <w:color w:val="auto"/>
                <w:szCs w:val="21"/>
                <w:highlight w:val="none"/>
                <w:lang w:val="en-US" w:eastAsia="zh-CN"/>
              </w:rPr>
              <w:t xml:space="preserve"> </w:t>
            </w:r>
            <w:r>
              <w:rPr>
                <w:color w:val="auto"/>
                <w:szCs w:val="21"/>
                <w:highlight w:val="none"/>
              </w:rPr>
              <w:t>1025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jc w:val="center"/>
        </w:trPr>
        <w:tc>
          <w:tcPr>
            <w:tcW w:w="424" w:type="pct"/>
            <w:vAlign w:val="center"/>
          </w:tcPr>
          <w:p>
            <w:pPr>
              <w:spacing w:before="100" w:after="100"/>
              <w:jc w:val="center"/>
              <w:rPr>
                <w:color w:val="auto"/>
                <w:szCs w:val="21"/>
                <w:highlight w:val="none"/>
              </w:rPr>
            </w:pPr>
            <w:r>
              <w:rPr>
                <w:color w:val="auto"/>
                <w:szCs w:val="21"/>
                <w:highlight w:val="none"/>
              </w:rPr>
              <w:t>5</w:t>
            </w:r>
          </w:p>
        </w:tc>
        <w:tc>
          <w:tcPr>
            <w:tcW w:w="1637" w:type="pct"/>
            <w:gridSpan w:val="2"/>
            <w:vAlign w:val="center"/>
          </w:tcPr>
          <w:p>
            <w:pPr>
              <w:spacing w:before="100" w:after="100"/>
              <w:jc w:val="center"/>
              <w:rPr>
                <w:color w:val="auto"/>
                <w:szCs w:val="21"/>
                <w:highlight w:val="none"/>
              </w:rPr>
            </w:pPr>
            <w:r>
              <w:rPr>
                <w:rFonts w:hint="eastAsia"/>
                <w:color w:val="auto"/>
                <w:szCs w:val="21"/>
                <w:highlight w:val="none"/>
              </w:rPr>
              <w:t>拉伸粘结强度（与复合板）</w:t>
            </w:r>
          </w:p>
        </w:tc>
        <w:tc>
          <w:tcPr>
            <w:tcW w:w="1170" w:type="pct"/>
            <w:vAlign w:val="center"/>
          </w:tcPr>
          <w:p>
            <w:pPr>
              <w:spacing w:before="100" w:after="100"/>
              <w:jc w:val="center"/>
              <w:rPr>
                <w:color w:val="auto"/>
                <w:szCs w:val="21"/>
                <w:highlight w:val="none"/>
              </w:rPr>
            </w:pPr>
            <w:r>
              <w:rPr>
                <w:rFonts w:hint="eastAsia"/>
                <w:color w:val="auto"/>
                <w:szCs w:val="21"/>
                <w:highlight w:val="none"/>
              </w:rPr>
              <w:t>原强度</w:t>
            </w:r>
            <w:r>
              <w:rPr>
                <w:rFonts w:hint="eastAsia"/>
                <w:color w:val="auto"/>
                <w:szCs w:val="21"/>
                <w:highlight w:val="none"/>
                <w:lang w:eastAsia="zh-CN"/>
              </w:rPr>
              <w:t>（</w:t>
            </w:r>
            <w:r>
              <w:rPr>
                <w:color w:val="auto"/>
                <w:szCs w:val="21"/>
                <w:highlight w:val="none"/>
              </w:rPr>
              <w:t>MPa</w:t>
            </w:r>
            <w:r>
              <w:rPr>
                <w:rFonts w:hint="eastAsia"/>
                <w:color w:val="auto"/>
                <w:szCs w:val="21"/>
                <w:highlight w:val="none"/>
                <w:lang w:eastAsia="zh-CN"/>
              </w:rPr>
              <w:t>）</w:t>
            </w:r>
          </w:p>
        </w:tc>
        <w:tc>
          <w:tcPr>
            <w:tcW w:w="1008" w:type="pct"/>
            <w:vAlign w:val="center"/>
          </w:tcPr>
          <w:p>
            <w:pPr>
              <w:spacing w:before="100" w:after="100"/>
              <w:jc w:val="center"/>
              <w:rPr>
                <w:color w:val="auto"/>
                <w:szCs w:val="21"/>
                <w:highlight w:val="none"/>
              </w:rPr>
            </w:pPr>
            <w:r>
              <w:rPr>
                <w:color w:val="auto"/>
                <w:szCs w:val="21"/>
                <w:highlight w:val="none"/>
              </w:rPr>
              <w:t>≥0.1</w:t>
            </w:r>
          </w:p>
        </w:tc>
        <w:tc>
          <w:tcPr>
            <w:tcW w:w="759" w:type="pct"/>
            <w:vMerge w:val="restart"/>
            <w:vAlign w:val="center"/>
          </w:tcPr>
          <w:p>
            <w:pPr>
              <w:spacing w:before="100" w:after="100"/>
              <w:jc w:val="center"/>
              <w:rPr>
                <w:color w:val="auto"/>
                <w:szCs w:val="21"/>
                <w:highlight w:val="none"/>
              </w:rPr>
            </w:pPr>
            <w:r>
              <w:rPr>
                <w:color w:val="auto"/>
                <w:szCs w:val="21"/>
                <w:highlight w:val="none"/>
              </w:rPr>
              <w:t>GB/T</w:t>
            </w:r>
            <w:r>
              <w:rPr>
                <w:rFonts w:hint="eastAsia"/>
                <w:color w:val="auto"/>
                <w:szCs w:val="21"/>
                <w:highlight w:val="none"/>
                <w:lang w:val="en-US" w:eastAsia="zh-CN"/>
              </w:rPr>
              <w:t xml:space="preserve"> </w:t>
            </w:r>
            <w:r>
              <w:rPr>
                <w:color w:val="auto"/>
                <w:szCs w:val="21"/>
                <w:highlight w:val="none"/>
              </w:rPr>
              <w:t>30593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 w:hRule="atLeast"/>
          <w:jc w:val="center"/>
        </w:trPr>
        <w:tc>
          <w:tcPr>
            <w:tcW w:w="424" w:type="pct"/>
            <w:vAlign w:val="center"/>
          </w:tcPr>
          <w:p>
            <w:pPr>
              <w:spacing w:before="100" w:after="100"/>
              <w:jc w:val="center"/>
              <w:rPr>
                <w:color w:val="auto"/>
                <w:szCs w:val="21"/>
                <w:highlight w:val="none"/>
              </w:rPr>
            </w:pPr>
            <w:r>
              <w:rPr>
                <w:color w:val="auto"/>
                <w:szCs w:val="21"/>
                <w:highlight w:val="none"/>
              </w:rPr>
              <w:t>6</w:t>
            </w:r>
          </w:p>
        </w:tc>
        <w:tc>
          <w:tcPr>
            <w:tcW w:w="1637" w:type="pct"/>
            <w:gridSpan w:val="2"/>
            <w:vAlign w:val="center"/>
          </w:tcPr>
          <w:p>
            <w:pPr>
              <w:spacing w:before="100" w:after="100"/>
              <w:jc w:val="center"/>
              <w:rPr>
                <w:color w:val="auto"/>
                <w:szCs w:val="21"/>
                <w:highlight w:val="none"/>
              </w:rPr>
            </w:pPr>
            <w:r>
              <w:rPr>
                <w:rFonts w:hint="eastAsia"/>
                <w:color w:val="auto"/>
                <w:szCs w:val="21"/>
                <w:highlight w:val="none"/>
              </w:rPr>
              <w:t>拉伸粘结强度（与水泥砂浆）</w:t>
            </w:r>
          </w:p>
        </w:tc>
        <w:tc>
          <w:tcPr>
            <w:tcW w:w="1170" w:type="pct"/>
            <w:vAlign w:val="center"/>
          </w:tcPr>
          <w:p>
            <w:pPr>
              <w:spacing w:before="100" w:after="100"/>
              <w:jc w:val="center"/>
              <w:rPr>
                <w:color w:val="auto"/>
                <w:szCs w:val="21"/>
                <w:highlight w:val="none"/>
              </w:rPr>
            </w:pPr>
            <w:r>
              <w:rPr>
                <w:rFonts w:hint="eastAsia"/>
                <w:color w:val="auto"/>
                <w:szCs w:val="21"/>
                <w:highlight w:val="none"/>
              </w:rPr>
              <w:t>原强度</w:t>
            </w:r>
            <w:r>
              <w:rPr>
                <w:rFonts w:hint="eastAsia"/>
                <w:color w:val="auto"/>
                <w:szCs w:val="21"/>
                <w:highlight w:val="none"/>
                <w:lang w:eastAsia="zh-CN"/>
              </w:rPr>
              <w:t>（</w:t>
            </w:r>
            <w:r>
              <w:rPr>
                <w:color w:val="auto"/>
                <w:szCs w:val="21"/>
                <w:highlight w:val="none"/>
              </w:rPr>
              <w:t>MPa</w:t>
            </w:r>
            <w:r>
              <w:rPr>
                <w:rFonts w:hint="eastAsia"/>
                <w:color w:val="auto"/>
                <w:szCs w:val="21"/>
                <w:highlight w:val="none"/>
                <w:lang w:eastAsia="zh-CN"/>
              </w:rPr>
              <w:t>）</w:t>
            </w:r>
          </w:p>
        </w:tc>
        <w:tc>
          <w:tcPr>
            <w:tcW w:w="1008" w:type="pct"/>
            <w:vAlign w:val="center"/>
          </w:tcPr>
          <w:p>
            <w:pPr>
              <w:pStyle w:val="12"/>
              <w:jc w:val="center"/>
              <w:rPr>
                <w:rFonts w:ascii="Times New Roman" w:hAnsi="Times New Roman"/>
                <w:color w:val="auto"/>
                <w:highlight w:val="none"/>
                <w:lang w:val="de-DE"/>
              </w:rPr>
            </w:pPr>
            <w:r>
              <w:rPr>
                <w:rFonts w:ascii="Times New Roman" w:hAnsi="Times New Roman"/>
                <w:color w:val="auto"/>
                <w:highlight w:val="none"/>
                <w:lang w:val="de-DE"/>
              </w:rPr>
              <w:t>≥0.5</w:t>
            </w:r>
          </w:p>
        </w:tc>
        <w:tc>
          <w:tcPr>
            <w:tcW w:w="759" w:type="pct"/>
            <w:vMerge w:val="continue"/>
            <w:vAlign w:val="center"/>
          </w:tcPr>
          <w:p>
            <w:pPr>
              <w:pStyle w:val="12"/>
              <w:jc w:val="center"/>
              <w:rPr>
                <w:rFonts w:ascii="Times New Roman" w:hAnsi="Times New Roman"/>
                <w:color w:val="auto"/>
                <w:highlight w:val="none"/>
                <w:lang w:val="de-DE"/>
              </w:rPr>
            </w:pPr>
          </w:p>
        </w:tc>
      </w:tr>
    </w:tbl>
    <w:p>
      <w:pPr>
        <w:spacing w:line="500" w:lineRule="exact"/>
        <w:outlineLvl w:val="2"/>
        <w:rPr>
          <w:rFonts w:hAnsi="宋体"/>
          <w:color w:val="auto"/>
          <w:sz w:val="24"/>
          <w:highlight w:val="none"/>
        </w:rPr>
      </w:pPr>
      <w:r>
        <w:rPr>
          <w:rFonts w:hint="eastAsia" w:hAnsi="宋体"/>
          <w:b/>
          <w:color w:val="auto"/>
          <w:sz w:val="24"/>
          <w:highlight w:val="none"/>
        </w:rPr>
        <w:t>4.3.</w:t>
      </w:r>
      <w:r>
        <w:rPr>
          <w:rFonts w:hint="eastAsia" w:hAnsi="宋体"/>
          <w:b/>
          <w:color w:val="auto"/>
          <w:sz w:val="24"/>
          <w:highlight w:val="none"/>
          <w:lang w:val="en-US" w:eastAsia="zh-CN"/>
        </w:rPr>
        <w:t xml:space="preserve">10 </w:t>
      </w:r>
      <w:r>
        <w:rPr>
          <w:rFonts w:hint="eastAsia" w:hAnsi="宋体"/>
          <w:color w:val="auto"/>
          <w:sz w:val="24"/>
          <w:highlight w:val="none"/>
        </w:rPr>
        <w:t>锚固件的塑料膨胀套管应采用聚酰胺、聚乙烯或聚丙烯制成，且不得使用回收的再生材料，螺钉应采用材质为不锈钢或经过表面防腐处理的碳素钢制成，应采用凸缘锚栓，其主要性能应符合表4.3.</w:t>
      </w:r>
      <w:r>
        <w:rPr>
          <w:rFonts w:hint="eastAsia" w:hAnsi="宋体"/>
          <w:color w:val="auto"/>
          <w:sz w:val="24"/>
          <w:highlight w:val="none"/>
          <w:lang w:val="en-US" w:eastAsia="zh-CN"/>
        </w:rPr>
        <w:t>10</w:t>
      </w:r>
      <w:r>
        <w:rPr>
          <w:rFonts w:hint="eastAsia" w:hAnsi="宋体"/>
          <w:color w:val="auto"/>
          <w:sz w:val="24"/>
          <w:highlight w:val="none"/>
        </w:rPr>
        <w:t>的规定。</w:t>
      </w:r>
    </w:p>
    <w:p>
      <w:pPr>
        <w:snapToGrid w:val="0"/>
        <w:jc w:val="center"/>
        <w:rPr>
          <w:rFonts w:hAnsi="宋体"/>
          <w:b/>
          <w:color w:val="auto"/>
          <w:highlight w:val="none"/>
        </w:rPr>
      </w:pPr>
      <w:r>
        <w:rPr>
          <w:rFonts w:hint="eastAsia" w:hAnsi="宋体"/>
          <w:b/>
          <w:color w:val="auto"/>
          <w:highlight w:val="none"/>
        </w:rPr>
        <w:t>表4.3.</w:t>
      </w:r>
      <w:r>
        <w:rPr>
          <w:rFonts w:hint="eastAsia" w:hAnsi="宋体"/>
          <w:b/>
          <w:color w:val="auto"/>
          <w:highlight w:val="none"/>
          <w:lang w:val="en-US" w:eastAsia="zh-CN"/>
        </w:rPr>
        <w:t>10</w:t>
      </w:r>
      <w:r>
        <w:rPr>
          <w:rFonts w:hint="eastAsia" w:hAnsi="宋体"/>
          <w:b/>
          <w:color w:val="auto"/>
          <w:highlight w:val="none"/>
        </w:rPr>
        <w:t>锚栓主要性能指标</w:t>
      </w:r>
    </w:p>
    <w:tbl>
      <w:tblPr>
        <w:tblStyle w:val="24"/>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114"/>
        <w:gridCol w:w="2305"/>
        <w:gridCol w:w="28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9" w:hRule="atLeast"/>
        </w:trPr>
        <w:tc>
          <w:tcPr>
            <w:tcW w:w="2226" w:type="pct"/>
            <w:vAlign w:val="center"/>
          </w:tcPr>
          <w:p>
            <w:pPr>
              <w:spacing w:before="100" w:after="100"/>
              <w:jc w:val="center"/>
              <w:rPr>
                <w:color w:val="auto"/>
                <w:szCs w:val="21"/>
                <w:highlight w:val="none"/>
              </w:rPr>
            </w:pPr>
            <w:r>
              <w:rPr>
                <w:rFonts w:hint="eastAsia"/>
                <w:color w:val="auto"/>
                <w:szCs w:val="21"/>
                <w:highlight w:val="none"/>
              </w:rPr>
              <w:t>项目</w:t>
            </w:r>
          </w:p>
        </w:tc>
        <w:tc>
          <w:tcPr>
            <w:tcW w:w="1247" w:type="pct"/>
            <w:vAlign w:val="center"/>
          </w:tcPr>
          <w:p>
            <w:pPr>
              <w:spacing w:before="100" w:after="100"/>
              <w:jc w:val="center"/>
              <w:rPr>
                <w:color w:val="auto"/>
                <w:szCs w:val="21"/>
                <w:highlight w:val="none"/>
              </w:rPr>
            </w:pPr>
            <w:r>
              <w:rPr>
                <w:rFonts w:hint="eastAsia"/>
                <w:color w:val="auto"/>
                <w:szCs w:val="21"/>
                <w:highlight w:val="none"/>
              </w:rPr>
              <w:t>性能指标</w:t>
            </w:r>
          </w:p>
        </w:tc>
        <w:tc>
          <w:tcPr>
            <w:tcW w:w="1527" w:type="pct"/>
            <w:vAlign w:val="center"/>
          </w:tcPr>
          <w:p>
            <w:pPr>
              <w:spacing w:before="100" w:after="100"/>
              <w:jc w:val="center"/>
              <w:rPr>
                <w:color w:val="auto"/>
                <w:szCs w:val="21"/>
                <w:highlight w:val="none"/>
              </w:rPr>
            </w:pPr>
            <w:r>
              <w:rPr>
                <w:rFonts w:hint="eastAsia"/>
                <w:color w:val="auto"/>
                <w:szCs w:val="21"/>
                <w:highlight w:val="none"/>
              </w:rPr>
              <w:t>试验方法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26" w:type="pct"/>
            <w:vAlign w:val="center"/>
          </w:tcPr>
          <w:p>
            <w:pPr>
              <w:spacing w:before="100" w:after="100"/>
              <w:jc w:val="center"/>
              <w:rPr>
                <w:color w:val="auto"/>
                <w:szCs w:val="21"/>
                <w:highlight w:val="none"/>
              </w:rPr>
            </w:pPr>
            <w:r>
              <w:rPr>
                <w:rFonts w:hint="eastAsia"/>
                <w:color w:val="auto"/>
                <w:szCs w:val="21"/>
                <w:highlight w:val="none"/>
              </w:rPr>
              <w:t>单个锚栓抗拉承载力标准值</w:t>
            </w:r>
            <w:r>
              <w:rPr>
                <w:rFonts w:hint="eastAsia"/>
                <w:color w:val="auto"/>
                <w:szCs w:val="21"/>
                <w:highlight w:val="none"/>
                <w:lang w:eastAsia="zh-CN"/>
              </w:rPr>
              <w:t>（</w:t>
            </w:r>
            <w:r>
              <w:rPr>
                <w:color w:val="auto"/>
                <w:szCs w:val="21"/>
                <w:highlight w:val="none"/>
              </w:rPr>
              <w:t>kN</w:t>
            </w:r>
            <w:r>
              <w:rPr>
                <w:rFonts w:hint="eastAsia"/>
                <w:color w:val="auto"/>
                <w:szCs w:val="21"/>
                <w:highlight w:val="none"/>
                <w:lang w:eastAsia="zh-CN"/>
              </w:rPr>
              <w:t>）</w:t>
            </w:r>
          </w:p>
          <w:p>
            <w:pPr>
              <w:spacing w:before="100" w:after="100"/>
              <w:jc w:val="center"/>
              <w:rPr>
                <w:color w:val="auto"/>
                <w:szCs w:val="21"/>
                <w:highlight w:val="none"/>
              </w:rPr>
            </w:pPr>
            <w:r>
              <w:rPr>
                <w:rFonts w:hint="eastAsia"/>
                <w:color w:val="auto"/>
                <w:szCs w:val="21"/>
                <w:highlight w:val="none"/>
              </w:rPr>
              <w:t>（</w:t>
            </w:r>
            <w:r>
              <w:rPr>
                <w:color w:val="auto"/>
                <w:szCs w:val="21"/>
                <w:highlight w:val="none"/>
              </w:rPr>
              <w:t>C25</w:t>
            </w:r>
            <w:r>
              <w:rPr>
                <w:rFonts w:hint="eastAsia"/>
                <w:color w:val="auto"/>
                <w:szCs w:val="21"/>
                <w:highlight w:val="none"/>
              </w:rPr>
              <w:t>混凝土基层）</w:t>
            </w:r>
          </w:p>
        </w:tc>
        <w:tc>
          <w:tcPr>
            <w:tcW w:w="1247" w:type="pct"/>
            <w:vAlign w:val="center"/>
          </w:tcPr>
          <w:p>
            <w:pPr>
              <w:spacing w:before="100" w:after="100"/>
              <w:jc w:val="center"/>
              <w:rPr>
                <w:color w:val="auto"/>
                <w:szCs w:val="21"/>
                <w:highlight w:val="none"/>
              </w:rPr>
            </w:pPr>
            <w:r>
              <w:rPr>
                <w:color w:val="auto"/>
                <w:szCs w:val="21"/>
                <w:highlight w:val="none"/>
              </w:rPr>
              <w:t>≥0.3</w:t>
            </w:r>
          </w:p>
        </w:tc>
        <w:tc>
          <w:tcPr>
            <w:tcW w:w="1527" w:type="pct"/>
            <w:vAlign w:val="center"/>
          </w:tcPr>
          <w:p>
            <w:pPr>
              <w:spacing w:before="100" w:after="100"/>
              <w:jc w:val="center"/>
              <w:rPr>
                <w:color w:val="auto"/>
                <w:szCs w:val="21"/>
                <w:highlight w:val="none"/>
              </w:rPr>
            </w:pPr>
            <w:r>
              <w:rPr>
                <w:color w:val="auto"/>
                <w:szCs w:val="21"/>
                <w:highlight w:val="none"/>
              </w:rPr>
              <w:t>JG 149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26" w:type="pct"/>
            <w:vAlign w:val="center"/>
          </w:tcPr>
          <w:p>
            <w:pPr>
              <w:spacing w:before="100" w:after="100"/>
              <w:jc w:val="center"/>
              <w:rPr>
                <w:color w:val="auto"/>
                <w:szCs w:val="21"/>
                <w:highlight w:val="none"/>
              </w:rPr>
            </w:pPr>
            <w:r>
              <w:rPr>
                <w:rFonts w:hint="eastAsia"/>
                <w:color w:val="auto"/>
                <w:szCs w:val="21"/>
                <w:highlight w:val="none"/>
              </w:rPr>
              <w:t>锚栓直径</w:t>
            </w:r>
            <w:r>
              <w:rPr>
                <w:rFonts w:hint="eastAsia"/>
                <w:color w:val="auto"/>
                <w:szCs w:val="21"/>
                <w:highlight w:val="none"/>
                <w:lang w:eastAsia="zh-CN"/>
              </w:rPr>
              <w:t>（</w:t>
            </w:r>
            <w:r>
              <w:rPr>
                <w:color w:val="auto"/>
                <w:szCs w:val="21"/>
                <w:highlight w:val="none"/>
              </w:rPr>
              <w:t>mm</w:t>
            </w:r>
            <w:r>
              <w:rPr>
                <w:rFonts w:hint="eastAsia"/>
                <w:color w:val="auto"/>
                <w:szCs w:val="21"/>
                <w:highlight w:val="none"/>
                <w:lang w:eastAsia="zh-CN"/>
              </w:rPr>
              <w:t>）</w:t>
            </w:r>
          </w:p>
        </w:tc>
        <w:tc>
          <w:tcPr>
            <w:tcW w:w="1247" w:type="pct"/>
            <w:vAlign w:val="center"/>
          </w:tcPr>
          <w:p>
            <w:pPr>
              <w:spacing w:before="100" w:after="100"/>
              <w:jc w:val="center"/>
              <w:rPr>
                <w:color w:val="auto"/>
                <w:szCs w:val="21"/>
                <w:highlight w:val="none"/>
              </w:rPr>
            </w:pPr>
            <w:r>
              <w:rPr>
                <w:color w:val="auto"/>
                <w:szCs w:val="21"/>
                <w:highlight w:val="none"/>
              </w:rPr>
              <w:t>8</w:t>
            </w:r>
          </w:p>
        </w:tc>
        <w:tc>
          <w:tcPr>
            <w:tcW w:w="1527" w:type="pct"/>
            <w:vMerge w:val="restart"/>
            <w:vAlign w:val="center"/>
          </w:tcPr>
          <w:p>
            <w:pPr>
              <w:spacing w:before="100" w:after="100"/>
              <w:jc w:val="center"/>
              <w:rPr>
                <w:color w:val="auto"/>
                <w:szCs w:val="21"/>
                <w:highlight w:val="none"/>
              </w:rPr>
            </w:pPr>
            <w:r>
              <w:rPr>
                <w:rFonts w:hint="eastAsia"/>
                <w:color w:val="auto"/>
                <w:szCs w:val="21"/>
                <w:highlight w:val="none"/>
              </w:rPr>
              <w:t>游标卡尺测量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226" w:type="pct"/>
            <w:vAlign w:val="center"/>
          </w:tcPr>
          <w:p>
            <w:pPr>
              <w:spacing w:before="100" w:after="100"/>
              <w:jc w:val="center"/>
              <w:rPr>
                <w:color w:val="auto"/>
                <w:szCs w:val="21"/>
                <w:highlight w:val="none"/>
              </w:rPr>
            </w:pPr>
            <w:r>
              <w:rPr>
                <w:rFonts w:hint="eastAsia"/>
                <w:color w:val="auto"/>
                <w:szCs w:val="21"/>
                <w:highlight w:val="none"/>
              </w:rPr>
              <w:t>锚栓长度</w:t>
            </w:r>
            <w:r>
              <w:rPr>
                <w:rFonts w:hint="eastAsia"/>
                <w:color w:val="auto"/>
                <w:szCs w:val="21"/>
                <w:highlight w:val="none"/>
                <w:lang w:eastAsia="zh-CN"/>
              </w:rPr>
              <w:t>（</w:t>
            </w:r>
            <w:r>
              <w:rPr>
                <w:color w:val="auto"/>
                <w:szCs w:val="21"/>
                <w:highlight w:val="none"/>
              </w:rPr>
              <w:t>mm</w:t>
            </w:r>
            <w:r>
              <w:rPr>
                <w:rFonts w:hint="eastAsia"/>
                <w:color w:val="auto"/>
                <w:szCs w:val="21"/>
                <w:highlight w:val="none"/>
                <w:lang w:eastAsia="zh-CN"/>
              </w:rPr>
              <w:t>）</w:t>
            </w:r>
          </w:p>
        </w:tc>
        <w:tc>
          <w:tcPr>
            <w:tcW w:w="1247" w:type="pct"/>
            <w:vAlign w:val="center"/>
          </w:tcPr>
          <w:p>
            <w:pPr>
              <w:spacing w:before="100" w:after="100"/>
              <w:jc w:val="center"/>
              <w:rPr>
                <w:color w:val="auto"/>
                <w:szCs w:val="21"/>
                <w:highlight w:val="none"/>
              </w:rPr>
            </w:pPr>
            <w:r>
              <w:rPr>
                <w:color w:val="auto"/>
                <w:szCs w:val="21"/>
                <w:highlight w:val="none"/>
              </w:rPr>
              <w:t>80</w:t>
            </w:r>
            <w:r>
              <w:rPr>
                <w:rFonts w:hint="eastAsia"/>
                <w:color w:val="auto"/>
                <w:szCs w:val="21"/>
                <w:highlight w:val="none"/>
              </w:rPr>
              <w:t>或</w:t>
            </w:r>
            <w:r>
              <w:rPr>
                <w:color w:val="auto"/>
                <w:szCs w:val="21"/>
                <w:highlight w:val="none"/>
              </w:rPr>
              <w:t>100</w:t>
            </w:r>
          </w:p>
        </w:tc>
        <w:tc>
          <w:tcPr>
            <w:tcW w:w="1527" w:type="pct"/>
            <w:vMerge w:val="continue"/>
            <w:vAlign w:val="center"/>
          </w:tcPr>
          <w:p>
            <w:pPr>
              <w:spacing w:before="100" w:after="100"/>
              <w:jc w:val="center"/>
              <w:rPr>
                <w:color w:val="auto"/>
                <w:szCs w:val="21"/>
                <w:highlight w:val="none"/>
              </w:rPr>
            </w:pPr>
          </w:p>
        </w:tc>
      </w:tr>
    </w:tbl>
    <w:p>
      <w:pPr>
        <w:snapToGrid w:val="0"/>
        <w:rPr>
          <w:b/>
          <w:color w:val="auto"/>
          <w:sz w:val="24"/>
          <w:highlight w:val="none"/>
        </w:rPr>
      </w:pPr>
    </w:p>
    <w:p>
      <w:pPr>
        <w:snapToGrid w:val="0"/>
        <w:outlineLvl w:val="2"/>
        <w:rPr>
          <w:color w:val="auto"/>
          <w:sz w:val="24"/>
          <w:highlight w:val="none"/>
        </w:rPr>
      </w:pPr>
      <w:r>
        <w:rPr>
          <w:rFonts w:hint="eastAsia"/>
          <w:b/>
          <w:color w:val="auto"/>
          <w:sz w:val="24"/>
          <w:highlight w:val="none"/>
        </w:rPr>
        <w:t>4.3.1</w:t>
      </w:r>
      <w:r>
        <w:rPr>
          <w:rFonts w:hint="eastAsia"/>
          <w:b/>
          <w:color w:val="auto"/>
          <w:sz w:val="24"/>
          <w:highlight w:val="none"/>
          <w:lang w:val="en-US" w:eastAsia="zh-CN"/>
        </w:rPr>
        <w:t xml:space="preserve">1 </w:t>
      </w:r>
      <w:r>
        <w:rPr>
          <w:rFonts w:hint="eastAsia" w:hAnsi="宋体"/>
          <w:color w:val="auto"/>
          <w:sz w:val="24"/>
          <w:highlight w:val="none"/>
        </w:rPr>
        <w:t>接缝纸带的性能应符合表</w:t>
      </w:r>
      <w:r>
        <w:rPr>
          <w:rFonts w:hint="eastAsia"/>
          <w:color w:val="auto"/>
          <w:sz w:val="24"/>
          <w:highlight w:val="none"/>
        </w:rPr>
        <w:t>4.3.1</w:t>
      </w:r>
      <w:r>
        <w:rPr>
          <w:rFonts w:hint="eastAsia"/>
          <w:color w:val="auto"/>
          <w:sz w:val="24"/>
          <w:highlight w:val="none"/>
          <w:lang w:val="en-US" w:eastAsia="zh-CN"/>
        </w:rPr>
        <w:t>1</w:t>
      </w:r>
      <w:r>
        <w:rPr>
          <w:rFonts w:hint="eastAsia" w:hAnsi="宋体"/>
          <w:color w:val="auto"/>
          <w:sz w:val="24"/>
          <w:highlight w:val="none"/>
        </w:rPr>
        <w:t>的规定。</w:t>
      </w:r>
    </w:p>
    <w:p>
      <w:pPr>
        <w:jc w:val="center"/>
        <w:rPr>
          <w:b/>
          <w:color w:val="auto"/>
          <w:szCs w:val="21"/>
          <w:highlight w:val="none"/>
        </w:rPr>
      </w:pPr>
      <w:r>
        <w:rPr>
          <w:rFonts w:hint="eastAsia" w:hAnsi="宋体"/>
          <w:b/>
          <w:color w:val="auto"/>
          <w:szCs w:val="21"/>
          <w:highlight w:val="none"/>
        </w:rPr>
        <w:t>表</w:t>
      </w:r>
      <w:r>
        <w:rPr>
          <w:rFonts w:hint="eastAsia"/>
          <w:b/>
          <w:color w:val="auto"/>
          <w:szCs w:val="21"/>
          <w:highlight w:val="none"/>
        </w:rPr>
        <w:t>4.3.1</w:t>
      </w:r>
      <w:r>
        <w:rPr>
          <w:rFonts w:hint="eastAsia"/>
          <w:b/>
          <w:color w:val="auto"/>
          <w:szCs w:val="21"/>
          <w:highlight w:val="none"/>
          <w:lang w:val="en-US" w:eastAsia="zh-CN"/>
        </w:rPr>
        <w:t>1</w:t>
      </w:r>
      <w:r>
        <w:rPr>
          <w:rFonts w:hint="eastAsia" w:hAnsi="宋体"/>
          <w:b/>
          <w:color w:val="auto"/>
          <w:szCs w:val="21"/>
          <w:highlight w:val="none"/>
        </w:rPr>
        <w:t>接缝纸带性能指标</w:t>
      </w:r>
    </w:p>
    <w:tbl>
      <w:tblPr>
        <w:tblStyle w:val="24"/>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9"/>
        <w:gridCol w:w="2199"/>
        <w:gridCol w:w="2760"/>
        <w:gridCol w:w="1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3794" w:type="dxa"/>
            <w:gridSpan w:val="2"/>
            <w:vAlign w:val="center"/>
          </w:tcPr>
          <w:p>
            <w:pPr>
              <w:jc w:val="center"/>
              <w:rPr>
                <w:color w:val="auto"/>
                <w:szCs w:val="21"/>
                <w:highlight w:val="none"/>
              </w:rPr>
            </w:pPr>
            <w:r>
              <w:rPr>
                <w:rFonts w:hint="eastAsia" w:hAnsi="宋体"/>
                <w:color w:val="auto"/>
                <w:szCs w:val="21"/>
                <w:highlight w:val="none"/>
              </w:rPr>
              <w:t>项目</w:t>
            </w:r>
          </w:p>
        </w:tc>
        <w:tc>
          <w:tcPr>
            <w:tcW w:w="2381" w:type="dxa"/>
            <w:vAlign w:val="center"/>
          </w:tcPr>
          <w:p>
            <w:pPr>
              <w:jc w:val="center"/>
              <w:rPr>
                <w:color w:val="auto"/>
                <w:szCs w:val="21"/>
                <w:highlight w:val="none"/>
              </w:rPr>
            </w:pPr>
            <w:r>
              <w:rPr>
                <w:rFonts w:hint="eastAsia" w:hAnsi="宋体"/>
                <w:color w:val="auto"/>
                <w:szCs w:val="21"/>
                <w:highlight w:val="none"/>
              </w:rPr>
              <w:t>性能指标</w:t>
            </w:r>
          </w:p>
        </w:tc>
        <w:tc>
          <w:tcPr>
            <w:tcW w:w="1649" w:type="dxa"/>
            <w:vAlign w:val="center"/>
          </w:tcPr>
          <w:p>
            <w:pPr>
              <w:jc w:val="center"/>
              <w:rPr>
                <w:color w:val="auto"/>
                <w:szCs w:val="21"/>
                <w:highlight w:val="none"/>
              </w:rPr>
            </w:pPr>
            <w:r>
              <w:rPr>
                <w:rFonts w:hint="eastAsia" w:hAnsi="宋体"/>
                <w:color w:val="auto"/>
                <w:szCs w:val="21"/>
                <w:highlight w:val="none"/>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794" w:type="dxa"/>
            <w:gridSpan w:val="2"/>
            <w:vAlign w:val="center"/>
          </w:tcPr>
          <w:p>
            <w:pPr>
              <w:jc w:val="center"/>
              <w:rPr>
                <w:color w:val="auto"/>
                <w:szCs w:val="21"/>
                <w:highlight w:val="none"/>
              </w:rPr>
            </w:pPr>
            <w:r>
              <w:rPr>
                <w:rFonts w:hint="eastAsia" w:hAnsi="宋体"/>
                <w:color w:val="auto"/>
                <w:szCs w:val="21"/>
                <w:highlight w:val="none"/>
              </w:rPr>
              <w:t>粘结强度</w:t>
            </w:r>
            <w:r>
              <w:rPr>
                <w:rFonts w:hint="eastAsia" w:hAnsi="宋体"/>
                <w:color w:val="auto"/>
                <w:szCs w:val="21"/>
                <w:highlight w:val="none"/>
                <w:lang w:eastAsia="zh-CN"/>
              </w:rPr>
              <w:t>（</w:t>
            </w:r>
            <w:r>
              <w:rPr>
                <w:color w:val="auto"/>
                <w:szCs w:val="21"/>
                <w:highlight w:val="none"/>
              </w:rPr>
              <w:t>MPa</w:t>
            </w:r>
            <w:r>
              <w:rPr>
                <w:rFonts w:hint="eastAsia" w:hAnsi="宋体"/>
                <w:color w:val="auto"/>
                <w:szCs w:val="21"/>
                <w:highlight w:val="none"/>
                <w:lang w:eastAsia="zh-CN"/>
              </w:rPr>
              <w:t>）</w:t>
            </w:r>
          </w:p>
        </w:tc>
        <w:tc>
          <w:tcPr>
            <w:tcW w:w="2381" w:type="dxa"/>
            <w:vAlign w:val="center"/>
          </w:tcPr>
          <w:p>
            <w:pPr>
              <w:spacing w:before="100" w:after="100"/>
              <w:jc w:val="center"/>
              <w:rPr>
                <w:color w:val="auto"/>
                <w:szCs w:val="21"/>
                <w:highlight w:val="none"/>
              </w:rPr>
            </w:pPr>
            <w:r>
              <w:rPr>
                <w:rFonts w:hint="eastAsia"/>
                <w:color w:val="auto"/>
                <w:szCs w:val="21"/>
                <w:highlight w:val="none"/>
              </w:rPr>
              <w:t>≥</w:t>
            </w:r>
            <w:r>
              <w:rPr>
                <w:color w:val="auto"/>
                <w:szCs w:val="21"/>
                <w:highlight w:val="none"/>
              </w:rPr>
              <w:t>0.30</w:t>
            </w:r>
          </w:p>
        </w:tc>
        <w:tc>
          <w:tcPr>
            <w:tcW w:w="1649" w:type="dxa"/>
            <w:vAlign w:val="center"/>
          </w:tcPr>
          <w:p>
            <w:pPr>
              <w:spacing w:before="100" w:after="100"/>
              <w:jc w:val="center"/>
              <w:rPr>
                <w:color w:val="auto"/>
                <w:szCs w:val="21"/>
                <w:highlight w:val="none"/>
              </w:rPr>
            </w:pPr>
            <w:r>
              <w:rPr>
                <w:color w:val="auto"/>
                <w:szCs w:val="21"/>
                <w:highlight w:val="none"/>
              </w:rPr>
              <w:t>JC/T</w:t>
            </w:r>
            <w:r>
              <w:rPr>
                <w:rFonts w:hint="eastAsia"/>
                <w:color w:val="auto"/>
                <w:szCs w:val="21"/>
                <w:highlight w:val="none"/>
                <w:lang w:val="en-US" w:eastAsia="zh-CN"/>
              </w:rPr>
              <w:t xml:space="preserve"> </w:t>
            </w:r>
            <w:r>
              <w:rPr>
                <w:color w:val="auto"/>
                <w:szCs w:val="21"/>
                <w:highlight w:val="none"/>
              </w:rPr>
              <w:t>2076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794" w:type="dxa"/>
            <w:gridSpan w:val="2"/>
            <w:vAlign w:val="center"/>
          </w:tcPr>
          <w:p>
            <w:pPr>
              <w:jc w:val="center"/>
              <w:rPr>
                <w:color w:val="auto"/>
                <w:szCs w:val="21"/>
                <w:highlight w:val="none"/>
              </w:rPr>
            </w:pPr>
            <w:r>
              <w:rPr>
                <w:rFonts w:hint="eastAsia"/>
                <w:color w:val="auto"/>
                <w:szCs w:val="21"/>
                <w:highlight w:val="none"/>
              </w:rPr>
              <w:t>横向抗拉强度（</w:t>
            </w:r>
            <w:r>
              <w:rPr>
                <w:color w:val="auto"/>
                <w:szCs w:val="21"/>
                <w:highlight w:val="none"/>
              </w:rPr>
              <w:t>N/ mm)</w:t>
            </w:r>
          </w:p>
        </w:tc>
        <w:tc>
          <w:tcPr>
            <w:tcW w:w="2381" w:type="dxa"/>
            <w:vAlign w:val="center"/>
          </w:tcPr>
          <w:p>
            <w:pPr>
              <w:spacing w:before="100" w:after="100"/>
              <w:jc w:val="center"/>
              <w:rPr>
                <w:color w:val="auto"/>
                <w:szCs w:val="21"/>
                <w:highlight w:val="none"/>
              </w:rPr>
            </w:pPr>
            <w:r>
              <w:rPr>
                <w:rFonts w:hint="eastAsia"/>
                <w:color w:val="auto"/>
                <w:szCs w:val="21"/>
                <w:highlight w:val="none"/>
              </w:rPr>
              <w:t>≥</w:t>
            </w:r>
            <w:r>
              <w:rPr>
                <w:color w:val="auto"/>
                <w:szCs w:val="21"/>
                <w:highlight w:val="none"/>
              </w:rPr>
              <w:t>4.0</w:t>
            </w:r>
          </w:p>
        </w:tc>
        <w:tc>
          <w:tcPr>
            <w:tcW w:w="1649" w:type="dxa"/>
            <w:vAlign w:val="center"/>
          </w:tcPr>
          <w:p>
            <w:pPr>
              <w:spacing w:before="100" w:after="100"/>
              <w:jc w:val="center"/>
              <w:rPr>
                <w:color w:val="auto"/>
                <w:szCs w:val="21"/>
                <w:highlight w:val="none"/>
              </w:rPr>
            </w:pPr>
            <w:r>
              <w:rPr>
                <w:color w:val="auto"/>
                <w:szCs w:val="21"/>
                <w:highlight w:val="none"/>
              </w:rPr>
              <w:t>JC/T</w:t>
            </w:r>
            <w:r>
              <w:rPr>
                <w:rFonts w:hint="eastAsia"/>
                <w:color w:val="auto"/>
                <w:szCs w:val="21"/>
                <w:highlight w:val="none"/>
                <w:lang w:val="en-US" w:eastAsia="zh-CN"/>
              </w:rPr>
              <w:t xml:space="preserve"> </w:t>
            </w:r>
            <w:r>
              <w:rPr>
                <w:color w:val="auto"/>
                <w:szCs w:val="21"/>
                <w:highlight w:val="none"/>
              </w:rPr>
              <w:t>2076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897" w:type="dxa"/>
            <w:vMerge w:val="restart"/>
            <w:vAlign w:val="center"/>
          </w:tcPr>
          <w:p>
            <w:pPr>
              <w:jc w:val="center"/>
              <w:rPr>
                <w:color w:val="auto"/>
                <w:szCs w:val="21"/>
                <w:highlight w:val="none"/>
              </w:rPr>
            </w:pPr>
            <w:r>
              <w:rPr>
                <w:rFonts w:hint="eastAsia"/>
                <w:color w:val="auto"/>
                <w:szCs w:val="21"/>
                <w:highlight w:val="none"/>
              </w:rPr>
              <w:t>湿膨胀率</w:t>
            </w:r>
          </w:p>
          <w:p>
            <w:pPr>
              <w:jc w:val="center"/>
              <w:rPr>
                <w:color w:val="auto"/>
                <w:szCs w:val="21"/>
                <w:highlight w:val="none"/>
              </w:rPr>
            </w:pPr>
          </w:p>
        </w:tc>
        <w:tc>
          <w:tcPr>
            <w:tcW w:w="1897" w:type="dxa"/>
            <w:vAlign w:val="center"/>
          </w:tcPr>
          <w:p>
            <w:pPr>
              <w:jc w:val="center"/>
              <w:rPr>
                <w:color w:val="auto"/>
                <w:szCs w:val="21"/>
                <w:highlight w:val="none"/>
              </w:rPr>
            </w:pPr>
            <w:r>
              <w:rPr>
                <w:rFonts w:hint="eastAsia"/>
                <w:color w:val="auto"/>
                <w:szCs w:val="21"/>
                <w:highlight w:val="none"/>
              </w:rPr>
              <w:t>纵向</w:t>
            </w:r>
            <w:r>
              <w:rPr>
                <w:color w:val="auto"/>
                <w:szCs w:val="21"/>
                <w:highlight w:val="none"/>
              </w:rPr>
              <w:t>/%</w:t>
            </w:r>
          </w:p>
        </w:tc>
        <w:tc>
          <w:tcPr>
            <w:tcW w:w="2381" w:type="dxa"/>
            <w:vAlign w:val="center"/>
          </w:tcPr>
          <w:p>
            <w:pPr>
              <w:spacing w:before="100" w:after="100"/>
              <w:jc w:val="center"/>
              <w:rPr>
                <w:color w:val="auto"/>
                <w:szCs w:val="21"/>
                <w:highlight w:val="none"/>
              </w:rPr>
            </w:pPr>
            <w:r>
              <w:rPr>
                <w:rFonts w:hint="eastAsia"/>
                <w:color w:val="auto"/>
                <w:szCs w:val="21"/>
                <w:highlight w:val="none"/>
              </w:rPr>
              <w:t>≤</w:t>
            </w:r>
            <w:r>
              <w:rPr>
                <w:color w:val="auto"/>
                <w:szCs w:val="21"/>
                <w:highlight w:val="none"/>
              </w:rPr>
              <w:t>0.4</w:t>
            </w:r>
          </w:p>
        </w:tc>
        <w:tc>
          <w:tcPr>
            <w:tcW w:w="1649" w:type="dxa"/>
            <w:vAlign w:val="center"/>
          </w:tcPr>
          <w:p>
            <w:pPr>
              <w:spacing w:before="100" w:after="100"/>
              <w:jc w:val="center"/>
              <w:rPr>
                <w:color w:val="auto"/>
                <w:szCs w:val="21"/>
                <w:highlight w:val="none"/>
              </w:rPr>
            </w:pPr>
            <w:r>
              <w:rPr>
                <w:color w:val="auto"/>
                <w:szCs w:val="21"/>
                <w:highlight w:val="none"/>
              </w:rPr>
              <w:t>JC/T</w:t>
            </w:r>
            <w:r>
              <w:rPr>
                <w:rFonts w:hint="eastAsia"/>
                <w:color w:val="auto"/>
                <w:szCs w:val="21"/>
                <w:highlight w:val="none"/>
                <w:lang w:val="en-US" w:eastAsia="zh-CN"/>
              </w:rPr>
              <w:t xml:space="preserve"> </w:t>
            </w:r>
            <w:r>
              <w:rPr>
                <w:color w:val="auto"/>
                <w:szCs w:val="21"/>
                <w:highlight w:val="none"/>
              </w:rPr>
              <w:t>2076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897" w:type="dxa"/>
            <w:vMerge w:val="continue"/>
            <w:vAlign w:val="center"/>
          </w:tcPr>
          <w:p>
            <w:pPr>
              <w:jc w:val="center"/>
              <w:rPr>
                <w:color w:val="auto"/>
                <w:szCs w:val="21"/>
                <w:highlight w:val="none"/>
              </w:rPr>
            </w:pPr>
          </w:p>
        </w:tc>
        <w:tc>
          <w:tcPr>
            <w:tcW w:w="1897" w:type="dxa"/>
            <w:vAlign w:val="center"/>
          </w:tcPr>
          <w:p>
            <w:pPr>
              <w:jc w:val="center"/>
              <w:rPr>
                <w:color w:val="auto"/>
                <w:szCs w:val="21"/>
                <w:highlight w:val="none"/>
              </w:rPr>
            </w:pPr>
            <w:r>
              <w:rPr>
                <w:rFonts w:hint="eastAsia"/>
                <w:color w:val="auto"/>
                <w:szCs w:val="21"/>
                <w:highlight w:val="none"/>
              </w:rPr>
              <w:t>横向</w:t>
            </w:r>
            <w:r>
              <w:rPr>
                <w:color w:val="auto"/>
                <w:szCs w:val="21"/>
                <w:highlight w:val="none"/>
              </w:rPr>
              <w:t>/%</w:t>
            </w:r>
          </w:p>
        </w:tc>
        <w:tc>
          <w:tcPr>
            <w:tcW w:w="2381" w:type="dxa"/>
            <w:vAlign w:val="center"/>
          </w:tcPr>
          <w:p>
            <w:pPr>
              <w:spacing w:before="100" w:after="100"/>
              <w:jc w:val="center"/>
              <w:rPr>
                <w:color w:val="auto"/>
                <w:szCs w:val="21"/>
                <w:highlight w:val="none"/>
              </w:rPr>
            </w:pPr>
            <w:r>
              <w:rPr>
                <w:rFonts w:hint="eastAsia"/>
                <w:color w:val="auto"/>
                <w:szCs w:val="21"/>
                <w:highlight w:val="none"/>
              </w:rPr>
              <w:t>≤</w:t>
            </w:r>
            <w:r>
              <w:rPr>
                <w:color w:val="auto"/>
                <w:szCs w:val="21"/>
                <w:highlight w:val="none"/>
              </w:rPr>
              <w:t>2.5</w:t>
            </w:r>
          </w:p>
        </w:tc>
        <w:tc>
          <w:tcPr>
            <w:tcW w:w="1649" w:type="dxa"/>
            <w:vAlign w:val="center"/>
          </w:tcPr>
          <w:p>
            <w:pPr>
              <w:spacing w:before="100" w:after="100"/>
              <w:jc w:val="center"/>
              <w:rPr>
                <w:color w:val="auto"/>
                <w:szCs w:val="21"/>
                <w:highlight w:val="none"/>
              </w:rPr>
            </w:pPr>
            <w:r>
              <w:rPr>
                <w:color w:val="auto"/>
                <w:szCs w:val="21"/>
                <w:highlight w:val="none"/>
              </w:rPr>
              <w:t>JC/T</w:t>
            </w:r>
            <w:r>
              <w:rPr>
                <w:rFonts w:hint="eastAsia"/>
                <w:color w:val="auto"/>
                <w:szCs w:val="21"/>
                <w:highlight w:val="none"/>
                <w:lang w:val="en-US" w:eastAsia="zh-CN"/>
              </w:rPr>
              <w:t xml:space="preserve"> </w:t>
            </w:r>
            <w:r>
              <w:rPr>
                <w:color w:val="auto"/>
                <w:szCs w:val="21"/>
                <w:highlight w:val="none"/>
              </w:rPr>
              <w:t>2076</w:t>
            </w:r>
          </w:p>
        </w:tc>
      </w:tr>
    </w:tbl>
    <w:p>
      <w:pPr>
        <w:spacing w:line="360" w:lineRule="auto"/>
        <w:rPr>
          <w:b/>
          <w:color w:val="auto"/>
          <w:sz w:val="24"/>
          <w:highlight w:val="none"/>
        </w:rPr>
      </w:pPr>
    </w:p>
    <w:p>
      <w:pPr>
        <w:widowControl/>
        <w:spacing w:line="440" w:lineRule="exact"/>
        <w:jc w:val="left"/>
        <w:outlineLvl w:val="2"/>
        <w:rPr>
          <w:color w:val="auto"/>
          <w:szCs w:val="21"/>
          <w:highlight w:val="none"/>
        </w:rPr>
      </w:pPr>
      <w:r>
        <w:rPr>
          <w:rFonts w:hint="eastAsia"/>
          <w:b/>
          <w:color w:val="auto"/>
          <w:sz w:val="24"/>
          <w:highlight w:val="none"/>
        </w:rPr>
        <w:t>4.3.1</w:t>
      </w:r>
      <w:r>
        <w:rPr>
          <w:rFonts w:hint="eastAsia"/>
          <w:b/>
          <w:color w:val="auto"/>
          <w:sz w:val="24"/>
          <w:highlight w:val="none"/>
          <w:lang w:val="en-US" w:eastAsia="zh-CN"/>
        </w:rPr>
        <w:t>2</w:t>
      </w:r>
      <w:r>
        <w:rPr>
          <w:rFonts w:hint="eastAsia"/>
          <w:b/>
          <w:color w:val="auto"/>
          <w:sz w:val="24"/>
          <w:highlight w:val="none"/>
        </w:rPr>
        <w:t xml:space="preserve"> </w:t>
      </w:r>
      <w:r>
        <w:rPr>
          <w:rFonts w:hAnsi="宋体"/>
          <w:color w:val="auto"/>
          <w:sz w:val="24"/>
          <w:highlight w:val="none"/>
        </w:rPr>
        <w:t>耐碱玻纤网</w:t>
      </w:r>
      <w:r>
        <w:rPr>
          <w:rFonts w:hint="eastAsia" w:hAnsi="宋体"/>
          <w:color w:val="auto"/>
          <w:sz w:val="24"/>
          <w:highlight w:val="none"/>
        </w:rPr>
        <w:t>格布主要</w:t>
      </w:r>
      <w:r>
        <w:rPr>
          <w:rFonts w:hAnsi="宋体"/>
          <w:color w:val="auto"/>
          <w:sz w:val="24"/>
          <w:highlight w:val="none"/>
        </w:rPr>
        <w:t>性能应符合表4.</w:t>
      </w:r>
      <w:r>
        <w:rPr>
          <w:rFonts w:hint="eastAsia" w:hAnsi="宋体"/>
          <w:color w:val="auto"/>
          <w:sz w:val="24"/>
          <w:highlight w:val="none"/>
        </w:rPr>
        <w:t>3.1</w:t>
      </w:r>
      <w:r>
        <w:rPr>
          <w:rFonts w:hint="eastAsia" w:hAnsi="宋体"/>
          <w:color w:val="auto"/>
          <w:sz w:val="24"/>
          <w:highlight w:val="none"/>
          <w:lang w:val="en-US" w:eastAsia="zh-CN"/>
        </w:rPr>
        <w:t>2</w:t>
      </w:r>
      <w:r>
        <w:rPr>
          <w:rFonts w:hAnsi="宋体"/>
          <w:color w:val="auto"/>
          <w:sz w:val="24"/>
          <w:highlight w:val="none"/>
        </w:rPr>
        <w:t>的规定。</w:t>
      </w:r>
    </w:p>
    <w:p>
      <w:pPr>
        <w:jc w:val="center"/>
        <w:rPr>
          <w:b/>
          <w:color w:val="auto"/>
          <w:szCs w:val="21"/>
          <w:highlight w:val="none"/>
        </w:rPr>
      </w:pPr>
      <w:r>
        <w:rPr>
          <w:b/>
          <w:color w:val="auto"/>
          <w:szCs w:val="21"/>
          <w:highlight w:val="none"/>
        </w:rPr>
        <w:t>表4.</w:t>
      </w:r>
      <w:r>
        <w:rPr>
          <w:rFonts w:hint="eastAsia"/>
          <w:b/>
          <w:color w:val="auto"/>
          <w:szCs w:val="21"/>
          <w:highlight w:val="none"/>
        </w:rPr>
        <w:t>3.1</w:t>
      </w:r>
      <w:r>
        <w:rPr>
          <w:rFonts w:hint="eastAsia"/>
          <w:b/>
          <w:color w:val="auto"/>
          <w:szCs w:val="21"/>
          <w:highlight w:val="none"/>
          <w:lang w:val="en-US" w:eastAsia="zh-CN"/>
        </w:rPr>
        <w:t>2</w:t>
      </w:r>
      <w:r>
        <w:rPr>
          <w:b/>
          <w:color w:val="auto"/>
          <w:szCs w:val="21"/>
          <w:highlight w:val="none"/>
        </w:rPr>
        <w:t>耐碱玻纤网</w:t>
      </w:r>
      <w:r>
        <w:rPr>
          <w:rFonts w:hint="eastAsia"/>
          <w:b/>
          <w:color w:val="auto"/>
          <w:szCs w:val="21"/>
          <w:highlight w:val="none"/>
        </w:rPr>
        <w:t>格布主要</w:t>
      </w:r>
      <w:r>
        <w:rPr>
          <w:b/>
          <w:color w:val="auto"/>
          <w:szCs w:val="21"/>
          <w:highlight w:val="none"/>
        </w:rPr>
        <w:t>性能指标</w:t>
      </w:r>
    </w:p>
    <w:tbl>
      <w:tblPr>
        <w:tblStyle w:val="24"/>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37"/>
        <w:gridCol w:w="3713"/>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2114" w:type="pct"/>
            <w:vAlign w:val="center"/>
          </w:tcPr>
          <w:p>
            <w:pPr>
              <w:jc w:val="center"/>
              <w:rPr>
                <w:color w:val="auto"/>
                <w:szCs w:val="21"/>
                <w:highlight w:val="none"/>
              </w:rPr>
            </w:pPr>
            <w:r>
              <w:rPr>
                <w:color w:val="auto"/>
                <w:szCs w:val="21"/>
                <w:highlight w:val="none"/>
              </w:rPr>
              <w:t>项目</w:t>
            </w:r>
          </w:p>
        </w:tc>
        <w:tc>
          <w:tcPr>
            <w:tcW w:w="2046" w:type="pct"/>
            <w:vAlign w:val="center"/>
          </w:tcPr>
          <w:p>
            <w:pPr>
              <w:jc w:val="center"/>
              <w:rPr>
                <w:color w:val="auto"/>
                <w:szCs w:val="21"/>
                <w:highlight w:val="none"/>
              </w:rPr>
            </w:pPr>
            <w:r>
              <w:rPr>
                <w:color w:val="auto"/>
                <w:szCs w:val="21"/>
                <w:highlight w:val="none"/>
              </w:rPr>
              <w:t>性能指标</w:t>
            </w:r>
          </w:p>
        </w:tc>
        <w:tc>
          <w:tcPr>
            <w:tcW w:w="838" w:type="pct"/>
            <w:vAlign w:val="center"/>
          </w:tcPr>
          <w:p>
            <w:pPr>
              <w:jc w:val="center"/>
              <w:rPr>
                <w:color w:val="auto"/>
                <w:szCs w:val="21"/>
                <w:highlight w:val="none"/>
              </w:rPr>
            </w:pPr>
            <w:r>
              <w:rPr>
                <w:color w:val="auto"/>
                <w:szCs w:val="21"/>
                <w:highlight w:val="none"/>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14" w:type="pct"/>
            <w:vAlign w:val="center"/>
          </w:tcPr>
          <w:p>
            <w:pPr>
              <w:jc w:val="center"/>
              <w:rPr>
                <w:rFonts w:hint="eastAsia" w:eastAsia="宋体"/>
                <w:color w:val="auto"/>
                <w:szCs w:val="21"/>
                <w:highlight w:val="none"/>
                <w:lang w:eastAsia="zh-CN"/>
              </w:rPr>
            </w:pPr>
            <w:r>
              <w:rPr>
                <w:color w:val="auto"/>
                <w:szCs w:val="21"/>
                <w:highlight w:val="none"/>
              </w:rPr>
              <w:t>标称单位面积质量</w:t>
            </w:r>
            <w:r>
              <w:rPr>
                <w:rFonts w:hint="eastAsia"/>
                <w:color w:val="auto"/>
                <w:szCs w:val="21"/>
                <w:highlight w:val="none"/>
                <w:lang w:eastAsia="zh-CN"/>
              </w:rPr>
              <w:t>（</w:t>
            </w:r>
            <w:r>
              <w:rPr>
                <w:color w:val="auto"/>
                <w:szCs w:val="21"/>
                <w:highlight w:val="none"/>
              </w:rPr>
              <w:t>g/m</w:t>
            </w:r>
            <w:r>
              <w:rPr>
                <w:color w:val="auto"/>
                <w:szCs w:val="21"/>
                <w:highlight w:val="none"/>
                <w:vertAlign w:val="superscript"/>
              </w:rPr>
              <w:t>2</w:t>
            </w:r>
            <w:r>
              <w:rPr>
                <w:rFonts w:hint="eastAsia"/>
                <w:color w:val="auto"/>
                <w:szCs w:val="21"/>
                <w:highlight w:val="none"/>
                <w:lang w:eastAsia="zh-CN"/>
              </w:rPr>
              <w:t>）</w:t>
            </w:r>
          </w:p>
        </w:tc>
        <w:tc>
          <w:tcPr>
            <w:tcW w:w="2046" w:type="pct"/>
            <w:vAlign w:val="center"/>
          </w:tcPr>
          <w:p>
            <w:pPr>
              <w:jc w:val="center"/>
              <w:rPr>
                <w:color w:val="auto"/>
                <w:szCs w:val="21"/>
                <w:highlight w:val="none"/>
              </w:rPr>
            </w:pPr>
            <w:r>
              <w:rPr>
                <w:color w:val="auto"/>
                <w:szCs w:val="21"/>
                <w:highlight w:val="none"/>
              </w:rPr>
              <w:t>＞160</w:t>
            </w:r>
          </w:p>
        </w:tc>
        <w:tc>
          <w:tcPr>
            <w:tcW w:w="838" w:type="pct"/>
            <w:vAlign w:val="center"/>
          </w:tcPr>
          <w:p>
            <w:pPr>
              <w:jc w:val="center"/>
              <w:rPr>
                <w:color w:val="auto"/>
                <w:szCs w:val="21"/>
                <w:highlight w:val="none"/>
              </w:rPr>
            </w:pPr>
            <w:r>
              <w:rPr>
                <w:color w:val="auto"/>
                <w:szCs w:val="21"/>
                <w:highlight w:val="none"/>
              </w:rPr>
              <w:t>GB/T 9914.3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14" w:type="pct"/>
            <w:vAlign w:val="center"/>
          </w:tcPr>
          <w:p>
            <w:pPr>
              <w:jc w:val="center"/>
              <w:rPr>
                <w:rFonts w:hint="eastAsia" w:eastAsia="宋体"/>
                <w:color w:val="auto"/>
                <w:szCs w:val="21"/>
                <w:highlight w:val="none"/>
                <w:lang w:eastAsia="zh-CN"/>
              </w:rPr>
            </w:pPr>
            <w:r>
              <w:rPr>
                <w:color w:val="auto"/>
                <w:szCs w:val="21"/>
                <w:highlight w:val="none"/>
              </w:rPr>
              <w:t>拉伸断裂强力（经、纬向）</w:t>
            </w:r>
            <w:r>
              <w:rPr>
                <w:rFonts w:hint="eastAsia"/>
                <w:color w:val="auto"/>
                <w:szCs w:val="21"/>
                <w:highlight w:val="none"/>
                <w:lang w:eastAsia="zh-CN"/>
              </w:rPr>
              <w:t>（</w:t>
            </w:r>
            <w:r>
              <w:rPr>
                <w:color w:val="auto"/>
                <w:szCs w:val="21"/>
                <w:highlight w:val="none"/>
              </w:rPr>
              <w:t>N/50mm</w:t>
            </w:r>
            <w:r>
              <w:rPr>
                <w:rFonts w:hint="eastAsia"/>
                <w:color w:val="auto"/>
                <w:szCs w:val="21"/>
                <w:highlight w:val="none"/>
                <w:lang w:eastAsia="zh-CN"/>
              </w:rPr>
              <w:t>）</w:t>
            </w:r>
          </w:p>
        </w:tc>
        <w:tc>
          <w:tcPr>
            <w:tcW w:w="2046" w:type="pct"/>
            <w:vAlign w:val="center"/>
          </w:tcPr>
          <w:p>
            <w:pPr>
              <w:jc w:val="center"/>
              <w:rPr>
                <w:color w:val="auto"/>
                <w:szCs w:val="21"/>
                <w:highlight w:val="none"/>
              </w:rPr>
            </w:pPr>
            <w:r>
              <w:rPr>
                <w:rFonts w:ascii="宋体" w:hAnsi="宋体"/>
                <w:color w:val="auto"/>
                <w:kern w:val="0"/>
                <w:szCs w:val="21"/>
                <w:highlight w:val="none"/>
              </w:rPr>
              <w:t>≥</w:t>
            </w:r>
            <w:r>
              <w:rPr>
                <w:color w:val="auto"/>
                <w:szCs w:val="21"/>
                <w:highlight w:val="none"/>
              </w:rPr>
              <w:t>1300</w:t>
            </w:r>
          </w:p>
        </w:tc>
        <w:tc>
          <w:tcPr>
            <w:tcW w:w="838" w:type="pct"/>
            <w:vAlign w:val="center"/>
          </w:tcPr>
          <w:p>
            <w:pPr>
              <w:jc w:val="center"/>
              <w:rPr>
                <w:color w:val="auto"/>
                <w:szCs w:val="21"/>
                <w:highlight w:val="none"/>
              </w:rPr>
            </w:pPr>
            <w:r>
              <w:rPr>
                <w:color w:val="auto"/>
                <w:szCs w:val="21"/>
                <w:highlight w:val="none"/>
              </w:rPr>
              <w:t>GB/T 7689.5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14" w:type="pct"/>
            <w:vAlign w:val="center"/>
          </w:tcPr>
          <w:p>
            <w:pPr>
              <w:jc w:val="center"/>
              <w:rPr>
                <w:rFonts w:hint="eastAsia" w:eastAsia="宋体"/>
                <w:color w:val="auto"/>
                <w:szCs w:val="21"/>
                <w:highlight w:val="none"/>
                <w:lang w:eastAsia="zh-CN"/>
              </w:rPr>
            </w:pPr>
            <w:r>
              <w:rPr>
                <w:color w:val="auto"/>
                <w:szCs w:val="21"/>
                <w:highlight w:val="none"/>
              </w:rPr>
              <w:t>耐碱断裂强度保留率（经、纬向）</w:t>
            </w:r>
            <w:r>
              <w:rPr>
                <w:rFonts w:hint="eastAsia"/>
                <w:color w:val="auto"/>
                <w:szCs w:val="21"/>
                <w:highlight w:val="none"/>
                <w:lang w:eastAsia="zh-CN"/>
              </w:rPr>
              <w:t>（</w:t>
            </w:r>
            <w:r>
              <w:rPr>
                <w:color w:val="auto"/>
                <w:szCs w:val="21"/>
                <w:highlight w:val="none"/>
              </w:rPr>
              <w:t>%</w:t>
            </w:r>
            <w:r>
              <w:rPr>
                <w:rFonts w:hint="eastAsia"/>
                <w:color w:val="auto"/>
                <w:szCs w:val="21"/>
                <w:highlight w:val="none"/>
                <w:lang w:eastAsia="zh-CN"/>
              </w:rPr>
              <w:t>）</w:t>
            </w:r>
          </w:p>
        </w:tc>
        <w:tc>
          <w:tcPr>
            <w:tcW w:w="2046" w:type="pct"/>
            <w:vAlign w:val="center"/>
          </w:tcPr>
          <w:p>
            <w:pPr>
              <w:jc w:val="center"/>
              <w:rPr>
                <w:color w:val="auto"/>
                <w:szCs w:val="21"/>
                <w:highlight w:val="none"/>
              </w:rPr>
            </w:pPr>
            <w:r>
              <w:rPr>
                <w:rFonts w:ascii="宋体" w:hAnsi="宋体"/>
                <w:color w:val="auto"/>
                <w:kern w:val="0"/>
                <w:szCs w:val="21"/>
                <w:highlight w:val="none"/>
              </w:rPr>
              <w:t>≥</w:t>
            </w:r>
            <w:r>
              <w:rPr>
                <w:color w:val="auto"/>
                <w:szCs w:val="21"/>
                <w:highlight w:val="none"/>
              </w:rPr>
              <w:t>75</w:t>
            </w:r>
          </w:p>
        </w:tc>
        <w:tc>
          <w:tcPr>
            <w:tcW w:w="838" w:type="pct"/>
            <w:vAlign w:val="center"/>
          </w:tcPr>
          <w:p>
            <w:pPr>
              <w:jc w:val="center"/>
              <w:rPr>
                <w:color w:val="auto"/>
                <w:szCs w:val="21"/>
                <w:highlight w:val="none"/>
              </w:rPr>
            </w:pPr>
            <w:r>
              <w:rPr>
                <w:color w:val="auto"/>
                <w:szCs w:val="21"/>
                <w:highlight w:val="none"/>
              </w:rPr>
              <w:t>GB/T 20102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14" w:type="pct"/>
            <w:vMerge w:val="restart"/>
            <w:vAlign w:val="center"/>
          </w:tcPr>
          <w:p>
            <w:pPr>
              <w:jc w:val="center"/>
              <w:rPr>
                <w:color w:val="auto"/>
                <w:szCs w:val="21"/>
                <w:highlight w:val="none"/>
              </w:rPr>
            </w:pPr>
            <w:r>
              <w:rPr>
                <w:color w:val="auto"/>
                <w:szCs w:val="21"/>
                <w:highlight w:val="none"/>
              </w:rPr>
              <w:t>氧化锆、氧化钛的含（合）量</w:t>
            </w:r>
            <w:r>
              <w:rPr>
                <w:rFonts w:hint="eastAsia"/>
                <w:color w:val="auto"/>
                <w:szCs w:val="21"/>
                <w:highlight w:val="none"/>
                <w:lang w:eastAsia="zh-CN"/>
              </w:rPr>
              <w:t>（</w:t>
            </w:r>
            <w:r>
              <w:rPr>
                <w:color w:val="auto"/>
                <w:szCs w:val="21"/>
                <w:highlight w:val="none"/>
              </w:rPr>
              <w:t>%</w:t>
            </w:r>
            <w:r>
              <w:rPr>
                <w:rFonts w:hint="eastAsia"/>
                <w:color w:val="auto"/>
                <w:szCs w:val="21"/>
                <w:highlight w:val="none"/>
                <w:lang w:eastAsia="zh-CN"/>
              </w:rPr>
              <w:t>）</w:t>
            </w:r>
          </w:p>
        </w:tc>
        <w:tc>
          <w:tcPr>
            <w:tcW w:w="2046" w:type="pct"/>
            <w:vAlign w:val="center"/>
          </w:tcPr>
          <w:p>
            <w:pPr>
              <w:spacing w:line="276" w:lineRule="auto"/>
              <w:jc w:val="center"/>
              <w:rPr>
                <w:b/>
                <w:color w:val="auto"/>
                <w:szCs w:val="21"/>
                <w:highlight w:val="none"/>
              </w:rPr>
            </w:pPr>
            <w:r>
              <w:rPr>
                <w:color w:val="auto"/>
                <w:szCs w:val="21"/>
                <w:highlight w:val="none"/>
              </w:rPr>
              <w:t>ZrO</w:t>
            </w:r>
            <w:r>
              <w:rPr>
                <w:color w:val="auto"/>
                <w:szCs w:val="21"/>
                <w:highlight w:val="none"/>
                <w:vertAlign w:val="subscript"/>
              </w:rPr>
              <w:t>2</w:t>
            </w:r>
            <w:r>
              <w:rPr>
                <w:color w:val="auto"/>
                <w:szCs w:val="21"/>
                <w:highlight w:val="none"/>
              </w:rPr>
              <w:t>的含量为14.5±0.8，TiO</w:t>
            </w:r>
            <w:r>
              <w:rPr>
                <w:color w:val="auto"/>
                <w:szCs w:val="21"/>
                <w:highlight w:val="none"/>
                <w:vertAlign w:val="subscript"/>
              </w:rPr>
              <w:t>2</w:t>
            </w:r>
            <w:r>
              <w:rPr>
                <w:color w:val="auto"/>
                <w:szCs w:val="21"/>
                <w:highlight w:val="none"/>
              </w:rPr>
              <w:t>的含量为6.0±0.5；</w:t>
            </w:r>
          </w:p>
        </w:tc>
        <w:tc>
          <w:tcPr>
            <w:tcW w:w="838" w:type="pct"/>
            <w:vMerge w:val="restart"/>
            <w:vAlign w:val="center"/>
          </w:tcPr>
          <w:p>
            <w:pPr>
              <w:jc w:val="center"/>
              <w:rPr>
                <w:color w:val="auto"/>
                <w:szCs w:val="21"/>
                <w:highlight w:val="none"/>
              </w:rPr>
            </w:pPr>
            <w:r>
              <w:rPr>
                <w:color w:val="auto"/>
                <w:szCs w:val="21"/>
                <w:highlight w:val="none"/>
              </w:rPr>
              <w:t>JC/T 841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14" w:type="pct"/>
            <w:vMerge w:val="continue"/>
            <w:vAlign w:val="center"/>
          </w:tcPr>
          <w:p>
            <w:pPr>
              <w:jc w:val="center"/>
              <w:rPr>
                <w:color w:val="auto"/>
                <w:szCs w:val="21"/>
                <w:highlight w:val="none"/>
              </w:rPr>
            </w:pPr>
          </w:p>
        </w:tc>
        <w:tc>
          <w:tcPr>
            <w:tcW w:w="2046" w:type="pct"/>
            <w:vAlign w:val="center"/>
          </w:tcPr>
          <w:p>
            <w:pPr>
              <w:spacing w:line="276" w:lineRule="auto"/>
              <w:jc w:val="center"/>
              <w:rPr>
                <w:b/>
                <w:color w:val="auto"/>
                <w:szCs w:val="21"/>
                <w:highlight w:val="none"/>
              </w:rPr>
            </w:pPr>
            <w:r>
              <w:rPr>
                <w:color w:val="auto"/>
                <w:szCs w:val="21"/>
                <w:highlight w:val="none"/>
              </w:rPr>
              <w:t>或ZrO</w:t>
            </w:r>
            <w:r>
              <w:rPr>
                <w:color w:val="auto"/>
                <w:szCs w:val="21"/>
                <w:highlight w:val="none"/>
                <w:vertAlign w:val="subscript"/>
              </w:rPr>
              <w:t>2</w:t>
            </w:r>
            <w:r>
              <w:rPr>
                <w:color w:val="auto"/>
                <w:szCs w:val="21"/>
                <w:highlight w:val="none"/>
              </w:rPr>
              <w:t>和TiO</w:t>
            </w:r>
            <w:r>
              <w:rPr>
                <w:color w:val="auto"/>
                <w:szCs w:val="21"/>
                <w:highlight w:val="none"/>
                <w:vertAlign w:val="subscript"/>
              </w:rPr>
              <w:t>2</w:t>
            </w:r>
            <w:r>
              <w:rPr>
                <w:color w:val="auto"/>
                <w:szCs w:val="21"/>
                <w:highlight w:val="none"/>
              </w:rPr>
              <w:t>的合量</w:t>
            </w:r>
            <w:r>
              <w:rPr>
                <w:rFonts w:ascii="宋体" w:hAnsi="宋体"/>
                <w:color w:val="auto"/>
                <w:kern w:val="0"/>
                <w:szCs w:val="21"/>
                <w:highlight w:val="none"/>
              </w:rPr>
              <w:t>≥</w:t>
            </w:r>
            <w:r>
              <w:rPr>
                <w:color w:val="auto"/>
                <w:szCs w:val="21"/>
                <w:highlight w:val="none"/>
              </w:rPr>
              <w:t>19.2，同时ZrO</w:t>
            </w:r>
            <w:r>
              <w:rPr>
                <w:color w:val="auto"/>
                <w:szCs w:val="21"/>
                <w:highlight w:val="none"/>
                <w:vertAlign w:val="subscript"/>
              </w:rPr>
              <w:t>2</w:t>
            </w:r>
            <w:r>
              <w:rPr>
                <w:color w:val="auto"/>
                <w:szCs w:val="21"/>
                <w:highlight w:val="none"/>
              </w:rPr>
              <w:t>的含量</w:t>
            </w:r>
            <w:r>
              <w:rPr>
                <w:rFonts w:ascii="宋体" w:hAnsi="宋体"/>
                <w:color w:val="auto"/>
                <w:kern w:val="0"/>
                <w:szCs w:val="21"/>
                <w:highlight w:val="none"/>
              </w:rPr>
              <w:t>≥</w:t>
            </w:r>
            <w:r>
              <w:rPr>
                <w:color w:val="auto"/>
                <w:szCs w:val="21"/>
                <w:highlight w:val="none"/>
              </w:rPr>
              <w:t>13.7；</w:t>
            </w:r>
          </w:p>
        </w:tc>
        <w:tc>
          <w:tcPr>
            <w:tcW w:w="838" w:type="pct"/>
            <w:vMerge w:val="continue"/>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14" w:type="pct"/>
            <w:vMerge w:val="continue"/>
            <w:vAlign w:val="center"/>
          </w:tcPr>
          <w:p>
            <w:pPr>
              <w:jc w:val="center"/>
              <w:rPr>
                <w:color w:val="auto"/>
                <w:szCs w:val="21"/>
                <w:highlight w:val="none"/>
              </w:rPr>
            </w:pPr>
          </w:p>
        </w:tc>
        <w:tc>
          <w:tcPr>
            <w:tcW w:w="2046" w:type="pct"/>
            <w:vAlign w:val="center"/>
          </w:tcPr>
          <w:p>
            <w:pPr>
              <w:spacing w:line="276" w:lineRule="auto"/>
              <w:jc w:val="center"/>
              <w:rPr>
                <w:b/>
                <w:color w:val="auto"/>
                <w:szCs w:val="21"/>
                <w:highlight w:val="none"/>
              </w:rPr>
            </w:pPr>
            <w:r>
              <w:rPr>
                <w:color w:val="auto"/>
                <w:szCs w:val="21"/>
                <w:highlight w:val="none"/>
              </w:rPr>
              <w:t>或ZrO</w:t>
            </w:r>
            <w:r>
              <w:rPr>
                <w:color w:val="auto"/>
                <w:szCs w:val="21"/>
                <w:highlight w:val="none"/>
                <w:vertAlign w:val="subscript"/>
              </w:rPr>
              <w:t>2</w:t>
            </w:r>
            <w:r>
              <w:rPr>
                <w:color w:val="auto"/>
                <w:szCs w:val="21"/>
                <w:highlight w:val="none"/>
              </w:rPr>
              <w:t>的含量</w:t>
            </w:r>
            <w:r>
              <w:rPr>
                <w:rFonts w:ascii="宋体" w:hAnsi="宋体"/>
                <w:color w:val="auto"/>
                <w:kern w:val="0"/>
                <w:szCs w:val="21"/>
                <w:highlight w:val="none"/>
              </w:rPr>
              <w:t>≥</w:t>
            </w:r>
            <w:r>
              <w:rPr>
                <w:color w:val="auto"/>
                <w:szCs w:val="21"/>
                <w:highlight w:val="none"/>
              </w:rPr>
              <w:t>16。</w:t>
            </w:r>
          </w:p>
        </w:tc>
        <w:tc>
          <w:tcPr>
            <w:tcW w:w="838" w:type="pct"/>
            <w:vMerge w:val="continue"/>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14" w:type="pct"/>
            <w:vAlign w:val="center"/>
          </w:tcPr>
          <w:p>
            <w:pPr>
              <w:jc w:val="center"/>
              <w:rPr>
                <w:color w:val="auto"/>
                <w:szCs w:val="21"/>
                <w:highlight w:val="none"/>
              </w:rPr>
            </w:pPr>
            <w:r>
              <w:rPr>
                <w:color w:val="auto"/>
                <w:szCs w:val="21"/>
                <w:highlight w:val="none"/>
              </w:rPr>
              <w:t>可燃物含量</w:t>
            </w:r>
            <w:r>
              <w:rPr>
                <w:rFonts w:hint="eastAsia"/>
                <w:color w:val="auto"/>
                <w:szCs w:val="21"/>
                <w:highlight w:val="none"/>
                <w:lang w:eastAsia="zh-CN"/>
              </w:rPr>
              <w:t>（</w:t>
            </w:r>
            <w:r>
              <w:rPr>
                <w:color w:val="auto"/>
                <w:szCs w:val="21"/>
                <w:highlight w:val="none"/>
              </w:rPr>
              <w:t>%</w:t>
            </w:r>
            <w:r>
              <w:rPr>
                <w:rFonts w:hint="eastAsia"/>
                <w:color w:val="auto"/>
                <w:szCs w:val="21"/>
                <w:highlight w:val="none"/>
                <w:lang w:eastAsia="zh-CN"/>
              </w:rPr>
              <w:t>）</w:t>
            </w:r>
          </w:p>
        </w:tc>
        <w:tc>
          <w:tcPr>
            <w:tcW w:w="2046" w:type="pct"/>
            <w:vAlign w:val="center"/>
          </w:tcPr>
          <w:p>
            <w:pPr>
              <w:jc w:val="center"/>
              <w:rPr>
                <w:color w:val="auto"/>
                <w:szCs w:val="21"/>
                <w:highlight w:val="none"/>
              </w:rPr>
            </w:pPr>
            <w:r>
              <w:rPr>
                <w:rFonts w:ascii="宋体" w:hAnsi="宋体"/>
                <w:color w:val="auto"/>
                <w:kern w:val="0"/>
                <w:szCs w:val="21"/>
                <w:highlight w:val="none"/>
              </w:rPr>
              <w:t>≥</w:t>
            </w:r>
            <w:r>
              <w:rPr>
                <w:color w:val="auto"/>
                <w:szCs w:val="21"/>
                <w:highlight w:val="none"/>
              </w:rPr>
              <w:t>12</w:t>
            </w:r>
          </w:p>
        </w:tc>
        <w:tc>
          <w:tcPr>
            <w:tcW w:w="838" w:type="pct"/>
            <w:vAlign w:val="center"/>
          </w:tcPr>
          <w:p>
            <w:pPr>
              <w:jc w:val="center"/>
              <w:rPr>
                <w:color w:val="auto"/>
                <w:szCs w:val="21"/>
                <w:highlight w:val="none"/>
              </w:rPr>
            </w:pPr>
            <w:r>
              <w:rPr>
                <w:color w:val="auto"/>
                <w:szCs w:val="21"/>
                <w:highlight w:val="none"/>
              </w:rPr>
              <w:t>GB/T 9914.2</w:t>
            </w:r>
          </w:p>
        </w:tc>
      </w:tr>
    </w:tbl>
    <w:p>
      <w:pPr>
        <w:rPr>
          <w:color w:val="auto"/>
          <w:sz w:val="18"/>
          <w:szCs w:val="18"/>
          <w:highlight w:val="none"/>
        </w:rPr>
      </w:pPr>
      <w:r>
        <w:rPr>
          <w:color w:val="auto"/>
          <w:sz w:val="18"/>
          <w:szCs w:val="18"/>
          <w:highlight w:val="none"/>
        </w:rPr>
        <w:t>注</w:t>
      </w:r>
      <w:r>
        <w:rPr>
          <w:b/>
          <w:color w:val="auto"/>
          <w:sz w:val="18"/>
          <w:szCs w:val="18"/>
          <w:highlight w:val="none"/>
        </w:rPr>
        <w:t>：</w:t>
      </w:r>
      <w:r>
        <w:rPr>
          <w:color w:val="auto"/>
          <w:sz w:val="18"/>
          <w:szCs w:val="18"/>
          <w:highlight w:val="none"/>
        </w:rPr>
        <w:t>氧化钛和氧化锆的含（合）量应满足表中三项任意一项要求即可。</w:t>
      </w:r>
    </w:p>
    <w:p>
      <w:pPr>
        <w:spacing w:line="360" w:lineRule="auto"/>
        <w:rPr>
          <w:b/>
          <w:color w:val="auto"/>
          <w:sz w:val="24"/>
          <w:highlight w:val="none"/>
        </w:rPr>
      </w:pPr>
    </w:p>
    <w:p>
      <w:pPr>
        <w:spacing w:line="360" w:lineRule="auto"/>
        <w:outlineLvl w:val="2"/>
        <w:rPr>
          <w:rFonts w:hAnsi="宋体"/>
          <w:color w:val="auto"/>
          <w:sz w:val="24"/>
          <w:highlight w:val="none"/>
        </w:rPr>
      </w:pPr>
      <w:r>
        <w:rPr>
          <w:rFonts w:hint="eastAsia"/>
          <w:b/>
          <w:color w:val="auto"/>
          <w:sz w:val="24"/>
          <w:highlight w:val="none"/>
        </w:rPr>
        <w:t>4.3.1</w:t>
      </w:r>
      <w:r>
        <w:rPr>
          <w:rFonts w:hint="eastAsia"/>
          <w:b/>
          <w:color w:val="auto"/>
          <w:sz w:val="24"/>
          <w:highlight w:val="none"/>
          <w:lang w:val="en-US" w:eastAsia="zh-CN"/>
        </w:rPr>
        <w:t>3</w:t>
      </w:r>
      <w:r>
        <w:rPr>
          <w:rFonts w:hint="eastAsia"/>
          <w:b/>
          <w:color w:val="auto"/>
          <w:sz w:val="24"/>
          <w:highlight w:val="none"/>
        </w:rPr>
        <w:t xml:space="preserve"> </w:t>
      </w:r>
      <w:r>
        <w:rPr>
          <w:rFonts w:hint="eastAsia" w:hAnsi="宋体"/>
          <w:color w:val="auto"/>
          <w:sz w:val="24"/>
          <w:highlight w:val="none"/>
        </w:rPr>
        <w:t>内保温系统用腻子的主要</w:t>
      </w:r>
      <w:r>
        <w:rPr>
          <w:rFonts w:hAnsi="宋体"/>
          <w:color w:val="auto"/>
          <w:sz w:val="24"/>
          <w:highlight w:val="none"/>
        </w:rPr>
        <w:t>性能</w:t>
      </w:r>
      <w:r>
        <w:rPr>
          <w:rFonts w:hint="eastAsia" w:hAnsi="宋体"/>
          <w:color w:val="auto"/>
          <w:sz w:val="24"/>
          <w:highlight w:val="none"/>
        </w:rPr>
        <w:t>除</w:t>
      </w:r>
      <w:r>
        <w:rPr>
          <w:rFonts w:hAnsi="宋体"/>
          <w:color w:val="auto"/>
          <w:sz w:val="24"/>
          <w:highlight w:val="none"/>
        </w:rPr>
        <w:t>应符合表4.</w:t>
      </w:r>
      <w:r>
        <w:rPr>
          <w:rFonts w:hint="eastAsia" w:hAnsi="宋体"/>
          <w:color w:val="auto"/>
          <w:sz w:val="24"/>
          <w:highlight w:val="none"/>
        </w:rPr>
        <w:t>3.1</w:t>
      </w:r>
      <w:r>
        <w:rPr>
          <w:rFonts w:hint="eastAsia" w:hAnsi="宋体"/>
          <w:color w:val="auto"/>
          <w:sz w:val="24"/>
          <w:highlight w:val="none"/>
          <w:lang w:val="en-US" w:eastAsia="zh-CN"/>
        </w:rPr>
        <w:t>3</w:t>
      </w:r>
      <w:r>
        <w:rPr>
          <w:rFonts w:hAnsi="宋体"/>
          <w:color w:val="auto"/>
          <w:sz w:val="24"/>
          <w:highlight w:val="none"/>
        </w:rPr>
        <w:t>的规定</w:t>
      </w:r>
      <w:r>
        <w:rPr>
          <w:rFonts w:hint="eastAsia" w:hAnsi="宋体"/>
          <w:color w:val="auto"/>
          <w:sz w:val="24"/>
          <w:highlight w:val="none"/>
        </w:rPr>
        <w:t>外</w:t>
      </w:r>
      <w:r>
        <w:rPr>
          <w:rFonts w:hAnsi="宋体"/>
          <w:color w:val="auto"/>
          <w:sz w:val="24"/>
          <w:highlight w:val="none"/>
        </w:rPr>
        <w:t>，</w:t>
      </w:r>
      <w:r>
        <w:rPr>
          <w:rFonts w:hint="eastAsia" w:hAnsi="宋体"/>
          <w:color w:val="auto"/>
          <w:sz w:val="24"/>
          <w:highlight w:val="none"/>
        </w:rPr>
        <w:t>还应符合《建筑室内用腻子》JG</w:t>
      </w:r>
      <w:r>
        <w:rPr>
          <w:rFonts w:hAnsi="宋体"/>
          <w:color w:val="auto"/>
          <w:sz w:val="24"/>
          <w:highlight w:val="none"/>
        </w:rPr>
        <w:t>/</w:t>
      </w:r>
      <w:r>
        <w:rPr>
          <w:rFonts w:hint="eastAsia" w:hAnsi="宋体"/>
          <w:color w:val="auto"/>
          <w:sz w:val="24"/>
          <w:highlight w:val="none"/>
        </w:rPr>
        <w:t>T</w:t>
      </w:r>
      <w:r>
        <w:rPr>
          <w:rFonts w:hint="eastAsia" w:hAnsi="宋体"/>
          <w:color w:val="auto"/>
          <w:sz w:val="24"/>
          <w:highlight w:val="none"/>
          <w:lang w:val="en-US" w:eastAsia="zh-CN"/>
        </w:rPr>
        <w:t xml:space="preserve"> </w:t>
      </w:r>
      <w:r>
        <w:rPr>
          <w:rFonts w:hint="eastAsia" w:hAnsi="宋体"/>
          <w:color w:val="auto"/>
          <w:sz w:val="24"/>
          <w:highlight w:val="none"/>
        </w:rPr>
        <w:t>298的规定。</w:t>
      </w:r>
    </w:p>
    <w:p>
      <w:pPr>
        <w:jc w:val="center"/>
        <w:rPr>
          <w:b/>
          <w:color w:val="auto"/>
          <w:szCs w:val="21"/>
          <w:highlight w:val="none"/>
        </w:rPr>
      </w:pPr>
      <w:r>
        <w:rPr>
          <w:b/>
          <w:color w:val="auto"/>
          <w:szCs w:val="21"/>
          <w:highlight w:val="none"/>
        </w:rPr>
        <w:t>表4.</w:t>
      </w:r>
      <w:r>
        <w:rPr>
          <w:rFonts w:hint="eastAsia"/>
          <w:b/>
          <w:color w:val="auto"/>
          <w:szCs w:val="21"/>
          <w:highlight w:val="none"/>
        </w:rPr>
        <w:t>3.1</w:t>
      </w:r>
      <w:r>
        <w:rPr>
          <w:rFonts w:hint="eastAsia"/>
          <w:b/>
          <w:color w:val="auto"/>
          <w:szCs w:val="21"/>
          <w:highlight w:val="none"/>
          <w:lang w:val="en-US" w:eastAsia="zh-CN"/>
        </w:rPr>
        <w:t>3</w:t>
      </w:r>
      <w:r>
        <w:rPr>
          <w:rFonts w:hint="eastAsia"/>
          <w:b/>
          <w:color w:val="auto"/>
          <w:szCs w:val="21"/>
          <w:highlight w:val="none"/>
        </w:rPr>
        <w:t>内保温系统用腻子主要</w:t>
      </w:r>
      <w:r>
        <w:rPr>
          <w:b/>
          <w:color w:val="auto"/>
          <w:szCs w:val="21"/>
          <w:highlight w:val="none"/>
        </w:rPr>
        <w:t>性能指标</w:t>
      </w:r>
    </w:p>
    <w:tbl>
      <w:tblPr>
        <w:tblStyle w:val="24"/>
        <w:tblW w:w="907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18"/>
        <w:gridCol w:w="1225"/>
        <w:gridCol w:w="1721"/>
        <w:gridCol w:w="1722"/>
        <w:gridCol w:w="1724"/>
        <w:gridCol w:w="14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5" w:hRule="atLeast"/>
          <w:jc w:val="center"/>
        </w:trPr>
        <w:tc>
          <w:tcPr>
            <w:tcW w:w="1346" w:type="pct"/>
            <w:gridSpan w:val="2"/>
            <w:vMerge w:val="restart"/>
            <w:vAlign w:val="center"/>
          </w:tcPr>
          <w:p>
            <w:pPr>
              <w:jc w:val="center"/>
              <w:rPr>
                <w:rFonts w:ascii="Times New Roman" w:hAnsi="Times New Roman"/>
                <w:color w:val="auto"/>
                <w:szCs w:val="21"/>
                <w:highlight w:val="none"/>
              </w:rPr>
            </w:pPr>
            <w:r>
              <w:rPr>
                <w:rFonts w:ascii="Times New Roman" w:hAnsi="宋体"/>
                <w:color w:val="auto"/>
                <w:szCs w:val="21"/>
                <w:highlight w:val="none"/>
              </w:rPr>
              <w:t>项目</w:t>
            </w:r>
          </w:p>
        </w:tc>
        <w:tc>
          <w:tcPr>
            <w:tcW w:w="2847" w:type="pct"/>
            <w:gridSpan w:val="3"/>
            <w:tcBorders>
              <w:bottom w:val="single" w:color="auto" w:sz="4" w:space="0"/>
            </w:tcBorders>
            <w:vAlign w:val="center"/>
          </w:tcPr>
          <w:p>
            <w:pPr>
              <w:jc w:val="center"/>
              <w:rPr>
                <w:rFonts w:ascii="Times New Roman" w:hAnsi="Times New Roman"/>
                <w:color w:val="auto"/>
                <w:szCs w:val="21"/>
                <w:highlight w:val="none"/>
              </w:rPr>
            </w:pPr>
            <w:r>
              <w:rPr>
                <w:rFonts w:hint="eastAsia" w:ascii="Times New Roman" w:hAnsi="宋体"/>
                <w:color w:val="auto"/>
                <w:szCs w:val="21"/>
                <w:highlight w:val="none"/>
              </w:rPr>
              <w:t>性能</w:t>
            </w:r>
            <w:r>
              <w:rPr>
                <w:rFonts w:ascii="Times New Roman" w:hAnsi="宋体"/>
                <w:color w:val="auto"/>
                <w:szCs w:val="21"/>
                <w:highlight w:val="none"/>
              </w:rPr>
              <w:t>指标</w:t>
            </w:r>
          </w:p>
        </w:tc>
        <w:tc>
          <w:tcPr>
            <w:tcW w:w="805" w:type="pct"/>
            <w:vMerge w:val="restart"/>
            <w:vAlign w:val="center"/>
          </w:tcPr>
          <w:p>
            <w:pPr>
              <w:jc w:val="center"/>
              <w:rPr>
                <w:rFonts w:ascii="Times New Roman" w:hAnsi="宋体"/>
                <w:color w:val="auto"/>
                <w:szCs w:val="21"/>
                <w:highlight w:val="none"/>
              </w:rPr>
            </w:pPr>
            <w:r>
              <w:rPr>
                <w:rFonts w:ascii="Times New Roman" w:hAnsi="宋体"/>
                <w:color w:val="auto"/>
                <w:szCs w:val="21"/>
                <w:highlight w:val="none"/>
              </w:rPr>
              <w:t>试验方法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8" w:hRule="atLeast"/>
          <w:jc w:val="center"/>
        </w:trPr>
        <w:tc>
          <w:tcPr>
            <w:tcW w:w="1346" w:type="pct"/>
            <w:gridSpan w:val="2"/>
            <w:vMerge w:val="continue"/>
            <w:vAlign w:val="center"/>
          </w:tcPr>
          <w:p>
            <w:pPr>
              <w:jc w:val="center"/>
              <w:rPr>
                <w:rFonts w:ascii="Times New Roman" w:hAnsi="宋体"/>
                <w:color w:val="auto"/>
                <w:szCs w:val="21"/>
                <w:highlight w:val="none"/>
              </w:rPr>
            </w:pPr>
          </w:p>
        </w:tc>
        <w:tc>
          <w:tcPr>
            <w:tcW w:w="948" w:type="pct"/>
            <w:tcBorders>
              <w:top w:val="single" w:color="auto" w:sz="4" w:space="0"/>
              <w:right w:val="single" w:color="auto" w:sz="4" w:space="0"/>
            </w:tcBorders>
            <w:vAlign w:val="center"/>
          </w:tcPr>
          <w:p>
            <w:pPr>
              <w:jc w:val="center"/>
              <w:rPr>
                <w:rFonts w:ascii="Times New Roman" w:hAnsi="宋体"/>
                <w:color w:val="auto"/>
                <w:szCs w:val="21"/>
                <w:highlight w:val="none"/>
              </w:rPr>
            </w:pPr>
            <w:r>
              <w:rPr>
                <w:rFonts w:hint="eastAsia" w:ascii="Times New Roman" w:hAnsi="宋体"/>
                <w:color w:val="auto"/>
                <w:szCs w:val="21"/>
                <w:highlight w:val="none"/>
              </w:rPr>
              <w:t>一般型（Y）</w:t>
            </w:r>
          </w:p>
        </w:tc>
        <w:tc>
          <w:tcPr>
            <w:tcW w:w="949" w:type="pct"/>
            <w:tcBorders>
              <w:top w:val="single" w:color="auto" w:sz="4" w:space="0"/>
              <w:left w:val="single" w:color="auto" w:sz="4" w:space="0"/>
              <w:right w:val="single" w:color="auto" w:sz="4" w:space="0"/>
            </w:tcBorders>
            <w:vAlign w:val="center"/>
          </w:tcPr>
          <w:p>
            <w:pPr>
              <w:jc w:val="center"/>
              <w:rPr>
                <w:rFonts w:ascii="Times New Roman" w:hAnsi="宋体"/>
                <w:color w:val="auto"/>
                <w:szCs w:val="21"/>
                <w:highlight w:val="none"/>
              </w:rPr>
            </w:pPr>
            <w:r>
              <w:rPr>
                <w:rFonts w:hint="eastAsia" w:ascii="Times New Roman" w:hAnsi="宋体"/>
                <w:color w:val="auto"/>
                <w:szCs w:val="21"/>
                <w:highlight w:val="none"/>
              </w:rPr>
              <w:t>柔韧型（R）</w:t>
            </w:r>
          </w:p>
        </w:tc>
        <w:tc>
          <w:tcPr>
            <w:tcW w:w="949" w:type="pct"/>
            <w:tcBorders>
              <w:top w:val="single" w:color="auto" w:sz="4" w:space="0"/>
              <w:left w:val="single" w:color="auto" w:sz="4" w:space="0"/>
            </w:tcBorders>
            <w:vAlign w:val="center"/>
          </w:tcPr>
          <w:p>
            <w:pPr>
              <w:jc w:val="center"/>
              <w:rPr>
                <w:rFonts w:ascii="Times New Roman" w:hAnsi="宋体"/>
                <w:color w:val="auto"/>
                <w:szCs w:val="21"/>
                <w:highlight w:val="none"/>
              </w:rPr>
            </w:pPr>
            <w:r>
              <w:rPr>
                <w:rFonts w:hint="eastAsia" w:ascii="Times New Roman" w:hAnsi="宋体"/>
                <w:color w:val="auto"/>
                <w:szCs w:val="21"/>
                <w:highlight w:val="none"/>
              </w:rPr>
              <w:t>耐水型（N）</w:t>
            </w:r>
          </w:p>
        </w:tc>
        <w:tc>
          <w:tcPr>
            <w:tcW w:w="805" w:type="pct"/>
            <w:vMerge w:val="continue"/>
            <w:vAlign w:val="center"/>
          </w:tcPr>
          <w:p>
            <w:pPr>
              <w:jc w:val="center"/>
              <w:rPr>
                <w:rFonts w:ascii="Times New Roman" w:hAnsi="宋体"/>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46" w:type="pct"/>
            <w:gridSpan w:val="2"/>
            <w:vAlign w:val="center"/>
          </w:tcPr>
          <w:p>
            <w:pPr>
              <w:jc w:val="center"/>
              <w:rPr>
                <w:rFonts w:ascii="Times New Roman" w:hAnsi="Times New Roman"/>
                <w:color w:val="auto"/>
                <w:szCs w:val="21"/>
                <w:highlight w:val="none"/>
              </w:rPr>
            </w:pPr>
            <w:r>
              <w:rPr>
                <w:rFonts w:ascii="Times New Roman" w:hAnsi="宋体"/>
                <w:color w:val="auto"/>
                <w:szCs w:val="21"/>
                <w:highlight w:val="none"/>
              </w:rPr>
              <w:t>容器中状态</w:t>
            </w:r>
          </w:p>
        </w:tc>
        <w:tc>
          <w:tcPr>
            <w:tcW w:w="2847" w:type="pct"/>
            <w:gridSpan w:val="3"/>
            <w:vAlign w:val="center"/>
          </w:tcPr>
          <w:p>
            <w:pPr>
              <w:jc w:val="center"/>
              <w:rPr>
                <w:rFonts w:ascii="Times New Roman" w:hAnsi="Times New Roman"/>
                <w:color w:val="auto"/>
                <w:szCs w:val="21"/>
                <w:highlight w:val="none"/>
              </w:rPr>
            </w:pPr>
            <w:r>
              <w:rPr>
                <w:rFonts w:ascii="Times New Roman" w:hAnsi="Times New Roman"/>
                <w:color w:val="auto"/>
                <w:szCs w:val="21"/>
                <w:highlight w:val="none"/>
              </w:rPr>
              <w:t>无结块、均匀</w:t>
            </w:r>
          </w:p>
        </w:tc>
        <w:tc>
          <w:tcPr>
            <w:tcW w:w="805" w:type="pct"/>
            <w:vMerge w:val="restart"/>
            <w:vAlign w:val="center"/>
          </w:tcPr>
          <w:p>
            <w:pPr>
              <w:jc w:val="center"/>
              <w:rPr>
                <w:rFonts w:ascii="Times New Roman" w:hAnsi="Times New Roman"/>
                <w:color w:val="auto"/>
                <w:szCs w:val="21"/>
                <w:highlight w:val="none"/>
              </w:rPr>
            </w:pPr>
            <w:r>
              <w:rPr>
                <w:rFonts w:ascii="Times New Roman" w:hAnsi="Times New Roman"/>
                <w:color w:val="auto"/>
                <w:szCs w:val="21"/>
                <w:highlight w:val="none"/>
              </w:rPr>
              <w:t>JG/T 298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46" w:type="pct"/>
            <w:gridSpan w:val="2"/>
            <w:vAlign w:val="center"/>
          </w:tcPr>
          <w:p>
            <w:pPr>
              <w:jc w:val="center"/>
              <w:rPr>
                <w:rFonts w:ascii="Times New Roman" w:hAnsi="Times New Roman"/>
                <w:color w:val="auto"/>
                <w:szCs w:val="21"/>
                <w:highlight w:val="none"/>
              </w:rPr>
            </w:pPr>
            <w:r>
              <w:rPr>
                <w:rFonts w:ascii="Times New Roman" w:hAnsi="宋体"/>
                <w:color w:val="auto"/>
                <w:szCs w:val="21"/>
                <w:highlight w:val="none"/>
              </w:rPr>
              <w:t>施工性</w:t>
            </w:r>
          </w:p>
        </w:tc>
        <w:tc>
          <w:tcPr>
            <w:tcW w:w="2847" w:type="pct"/>
            <w:gridSpan w:val="3"/>
            <w:vAlign w:val="center"/>
          </w:tcPr>
          <w:p>
            <w:pPr>
              <w:jc w:val="center"/>
              <w:rPr>
                <w:rFonts w:ascii="Times New Roman" w:hAnsi="Times New Roman"/>
                <w:color w:val="auto"/>
                <w:szCs w:val="21"/>
                <w:highlight w:val="none"/>
              </w:rPr>
            </w:pPr>
            <w:r>
              <w:rPr>
                <w:rFonts w:ascii="Times New Roman" w:hAnsi="宋体"/>
                <w:color w:val="auto"/>
                <w:szCs w:val="21"/>
                <w:highlight w:val="none"/>
              </w:rPr>
              <w:t>涂刷无障碍</w:t>
            </w:r>
          </w:p>
        </w:tc>
        <w:tc>
          <w:tcPr>
            <w:tcW w:w="805" w:type="pct"/>
            <w:vMerge w:val="continue"/>
            <w:vAlign w:val="center"/>
          </w:tcPr>
          <w:p>
            <w:pPr>
              <w:jc w:val="center"/>
              <w:rPr>
                <w:rFonts w:ascii="Times New Roman" w:hAnsi="Times New Roman"/>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46" w:type="pct"/>
            <w:gridSpan w:val="2"/>
            <w:vAlign w:val="center"/>
          </w:tcPr>
          <w:p>
            <w:pPr>
              <w:jc w:val="center"/>
              <w:rPr>
                <w:rFonts w:hint="eastAsia" w:ascii="Times New Roman" w:hAnsi="Times New Roman" w:eastAsia="宋体"/>
                <w:color w:val="auto"/>
                <w:szCs w:val="21"/>
                <w:highlight w:val="none"/>
                <w:lang w:eastAsia="zh-CN"/>
              </w:rPr>
            </w:pPr>
            <w:r>
              <w:rPr>
                <w:rFonts w:ascii="Times New Roman" w:hAnsi="宋体"/>
                <w:color w:val="auto"/>
                <w:szCs w:val="21"/>
                <w:highlight w:val="none"/>
              </w:rPr>
              <w:t>干燥时间</w:t>
            </w:r>
            <w:r>
              <w:rPr>
                <w:rFonts w:ascii="Times New Roman" w:hAnsi="Times New Roman"/>
                <w:color w:val="auto"/>
                <w:szCs w:val="21"/>
                <w:highlight w:val="none"/>
              </w:rPr>
              <w:t>(</w:t>
            </w:r>
            <w:r>
              <w:rPr>
                <w:rFonts w:ascii="Times New Roman" w:hAnsi="宋体"/>
                <w:color w:val="auto"/>
                <w:szCs w:val="21"/>
                <w:highlight w:val="none"/>
              </w:rPr>
              <w:t>表干</w:t>
            </w:r>
            <w:r>
              <w:rPr>
                <w:rFonts w:ascii="Times New Roman" w:hAnsi="Times New Roman"/>
                <w:color w:val="auto"/>
                <w:szCs w:val="21"/>
                <w:highlight w:val="none"/>
              </w:rPr>
              <w:t>)</w:t>
            </w:r>
            <w:r>
              <w:rPr>
                <w:rFonts w:hint="eastAsia" w:ascii="Times New Roman" w:hAnsi="Times New Roman"/>
                <w:color w:val="auto"/>
                <w:szCs w:val="21"/>
                <w:highlight w:val="none"/>
                <w:lang w:eastAsia="zh-CN"/>
              </w:rPr>
              <w:t>（</w:t>
            </w:r>
            <w:r>
              <w:rPr>
                <w:rFonts w:ascii="Times New Roman" w:hAnsi="Times New Roman"/>
                <w:color w:val="auto"/>
                <w:szCs w:val="21"/>
                <w:highlight w:val="none"/>
              </w:rPr>
              <w:t>h</w:t>
            </w:r>
            <w:r>
              <w:rPr>
                <w:rFonts w:hint="eastAsia" w:ascii="Times New Roman" w:hAnsi="Times New Roman"/>
                <w:color w:val="auto"/>
                <w:szCs w:val="21"/>
                <w:highlight w:val="none"/>
                <w:lang w:eastAsia="zh-CN"/>
              </w:rPr>
              <w:t>）</w:t>
            </w:r>
          </w:p>
        </w:tc>
        <w:tc>
          <w:tcPr>
            <w:tcW w:w="2847" w:type="pct"/>
            <w:gridSpan w:val="3"/>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rPr>
              <w:t>≤</w:t>
            </w:r>
            <w:r>
              <w:rPr>
                <w:rFonts w:ascii="Times New Roman" w:hAnsi="Times New Roman"/>
                <w:color w:val="auto"/>
                <w:szCs w:val="21"/>
                <w:highlight w:val="none"/>
              </w:rPr>
              <w:t>5</w:t>
            </w:r>
          </w:p>
        </w:tc>
        <w:tc>
          <w:tcPr>
            <w:tcW w:w="805" w:type="pct"/>
            <w:vAlign w:val="center"/>
          </w:tcPr>
          <w:p>
            <w:pPr>
              <w:jc w:val="center"/>
              <w:rPr>
                <w:rFonts w:ascii="Times New Roman" w:hAnsi="Times New Roman"/>
                <w:color w:val="auto"/>
                <w:szCs w:val="21"/>
                <w:highlight w:val="none"/>
              </w:rPr>
            </w:pPr>
            <w:r>
              <w:rPr>
                <w:rFonts w:ascii="Times New Roman" w:hAnsi="Times New Roman"/>
                <w:color w:val="auto"/>
                <w:szCs w:val="21"/>
                <w:highlight w:val="none"/>
              </w:rPr>
              <w:t>GB/T 1728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46" w:type="pct"/>
            <w:gridSpan w:val="2"/>
            <w:vAlign w:val="center"/>
          </w:tcPr>
          <w:p>
            <w:pPr>
              <w:jc w:val="center"/>
              <w:rPr>
                <w:rFonts w:ascii="Times New Roman" w:hAnsi="Times New Roman"/>
                <w:color w:val="auto"/>
                <w:szCs w:val="21"/>
                <w:highlight w:val="none"/>
              </w:rPr>
            </w:pPr>
            <w:r>
              <w:rPr>
                <w:rFonts w:ascii="Times New Roman" w:hAnsi="宋体"/>
                <w:color w:val="auto"/>
                <w:szCs w:val="21"/>
                <w:highlight w:val="none"/>
              </w:rPr>
              <w:t>初期干燥性能</w:t>
            </w:r>
            <w:r>
              <w:rPr>
                <w:rFonts w:ascii="Times New Roman" w:hAnsi="Times New Roman"/>
                <w:color w:val="auto"/>
                <w:szCs w:val="21"/>
                <w:highlight w:val="none"/>
              </w:rPr>
              <w:t>(3h)</w:t>
            </w:r>
          </w:p>
        </w:tc>
        <w:tc>
          <w:tcPr>
            <w:tcW w:w="2847" w:type="pct"/>
            <w:gridSpan w:val="3"/>
            <w:vAlign w:val="center"/>
          </w:tcPr>
          <w:p>
            <w:pPr>
              <w:jc w:val="center"/>
              <w:rPr>
                <w:rFonts w:ascii="Times New Roman" w:hAnsi="Times New Roman"/>
                <w:color w:val="auto"/>
                <w:szCs w:val="21"/>
                <w:highlight w:val="none"/>
              </w:rPr>
            </w:pPr>
            <w:r>
              <w:rPr>
                <w:rFonts w:ascii="Times New Roman" w:hAnsi="宋体"/>
                <w:color w:val="auto"/>
                <w:szCs w:val="21"/>
                <w:highlight w:val="none"/>
              </w:rPr>
              <w:t>无裂纹</w:t>
            </w:r>
          </w:p>
        </w:tc>
        <w:tc>
          <w:tcPr>
            <w:tcW w:w="805" w:type="pct"/>
            <w:vAlign w:val="center"/>
          </w:tcPr>
          <w:p>
            <w:pPr>
              <w:jc w:val="center"/>
              <w:rPr>
                <w:rFonts w:ascii="Times New Roman" w:hAnsi="Times New Roman"/>
                <w:color w:val="auto"/>
                <w:szCs w:val="21"/>
                <w:highlight w:val="none"/>
              </w:rPr>
            </w:pPr>
            <w:r>
              <w:rPr>
                <w:rFonts w:ascii="Times New Roman" w:hAnsi="Times New Roman"/>
                <w:color w:val="auto"/>
                <w:szCs w:val="21"/>
                <w:highlight w:val="none"/>
              </w:rPr>
              <w:t>JG/T 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46" w:type="pct"/>
            <w:gridSpan w:val="2"/>
            <w:vAlign w:val="center"/>
          </w:tcPr>
          <w:p>
            <w:pPr>
              <w:jc w:val="center"/>
              <w:rPr>
                <w:rFonts w:ascii="Times New Roman" w:hAnsi="宋体"/>
                <w:color w:val="auto"/>
                <w:szCs w:val="21"/>
                <w:highlight w:val="none"/>
              </w:rPr>
            </w:pPr>
            <w:r>
              <w:rPr>
                <w:rFonts w:ascii="Times New Roman" w:hAnsi="宋体"/>
                <w:color w:val="auto"/>
                <w:szCs w:val="21"/>
                <w:highlight w:val="none"/>
              </w:rPr>
              <w:t>打磨性</w:t>
            </w:r>
          </w:p>
        </w:tc>
        <w:tc>
          <w:tcPr>
            <w:tcW w:w="2847" w:type="pct"/>
            <w:gridSpan w:val="3"/>
            <w:vAlign w:val="center"/>
          </w:tcPr>
          <w:p>
            <w:pPr>
              <w:jc w:val="center"/>
              <w:rPr>
                <w:rFonts w:ascii="Times New Roman" w:hAnsi="宋体"/>
                <w:color w:val="auto"/>
                <w:szCs w:val="21"/>
                <w:highlight w:val="none"/>
              </w:rPr>
            </w:pPr>
            <w:r>
              <w:rPr>
                <w:rFonts w:ascii="Times New Roman" w:hAnsi="宋体"/>
                <w:color w:val="auto"/>
                <w:szCs w:val="21"/>
                <w:highlight w:val="none"/>
              </w:rPr>
              <w:t>手工可打磨</w:t>
            </w:r>
          </w:p>
        </w:tc>
        <w:tc>
          <w:tcPr>
            <w:tcW w:w="805" w:type="pct"/>
            <w:vAlign w:val="center"/>
          </w:tcPr>
          <w:p>
            <w:pPr>
              <w:jc w:val="center"/>
              <w:rPr>
                <w:rFonts w:ascii="Times New Roman" w:hAnsi="Times New Roman"/>
                <w:color w:val="auto"/>
                <w:szCs w:val="21"/>
                <w:highlight w:val="none"/>
              </w:rPr>
            </w:pPr>
            <w:r>
              <w:rPr>
                <w:rFonts w:ascii="Times New Roman" w:hAnsi="Times New Roman"/>
                <w:color w:val="auto"/>
                <w:szCs w:val="21"/>
                <w:highlight w:val="none"/>
              </w:rPr>
              <w:t>JG/T 298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46" w:type="pct"/>
            <w:gridSpan w:val="2"/>
            <w:vAlign w:val="center"/>
          </w:tcPr>
          <w:p>
            <w:pPr>
              <w:jc w:val="center"/>
              <w:rPr>
                <w:rFonts w:ascii="Times New Roman" w:hAnsi="Times New Roman"/>
                <w:color w:val="auto"/>
                <w:szCs w:val="21"/>
                <w:highlight w:val="none"/>
              </w:rPr>
            </w:pPr>
            <w:r>
              <w:rPr>
                <w:rFonts w:ascii="Times New Roman" w:hAnsi="宋体"/>
                <w:color w:val="auto"/>
                <w:szCs w:val="21"/>
                <w:highlight w:val="none"/>
              </w:rPr>
              <w:t>低温贮存稳定性</w:t>
            </w:r>
          </w:p>
        </w:tc>
        <w:tc>
          <w:tcPr>
            <w:tcW w:w="2847" w:type="pct"/>
            <w:gridSpan w:val="3"/>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rPr>
              <w:t>3次循环不变质</w:t>
            </w:r>
          </w:p>
        </w:tc>
        <w:tc>
          <w:tcPr>
            <w:tcW w:w="805" w:type="pct"/>
            <w:vAlign w:val="center"/>
          </w:tcPr>
          <w:p>
            <w:pPr>
              <w:jc w:val="center"/>
              <w:rPr>
                <w:rFonts w:ascii="Times New Roman" w:hAnsi="Times New Roman"/>
                <w:color w:val="auto"/>
                <w:szCs w:val="21"/>
                <w:highlight w:val="none"/>
              </w:rPr>
            </w:pPr>
            <w:r>
              <w:rPr>
                <w:rFonts w:ascii="Times New Roman" w:hAnsi="Times New Roman"/>
                <w:color w:val="auto"/>
                <w:szCs w:val="21"/>
                <w:highlight w:val="none"/>
              </w:rPr>
              <w:t>GB/T 9268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46" w:type="pct"/>
            <w:gridSpan w:val="2"/>
            <w:vAlign w:val="center"/>
          </w:tcPr>
          <w:p>
            <w:pPr>
              <w:jc w:val="center"/>
              <w:rPr>
                <w:rFonts w:ascii="Times New Roman" w:hAnsi="Times New Roman"/>
                <w:color w:val="auto"/>
                <w:szCs w:val="21"/>
                <w:highlight w:val="none"/>
              </w:rPr>
            </w:pPr>
            <w:r>
              <w:rPr>
                <w:rFonts w:ascii="Times New Roman" w:hAnsi="宋体"/>
                <w:color w:val="auto"/>
                <w:szCs w:val="21"/>
                <w:highlight w:val="none"/>
              </w:rPr>
              <w:t>耐水性</w:t>
            </w:r>
            <w:r>
              <w:rPr>
                <w:rFonts w:ascii="Times New Roman" w:hAnsi="Times New Roman"/>
                <w:color w:val="auto"/>
                <w:szCs w:val="21"/>
                <w:highlight w:val="none"/>
              </w:rPr>
              <w:t>(96h)</w:t>
            </w:r>
          </w:p>
        </w:tc>
        <w:tc>
          <w:tcPr>
            <w:tcW w:w="948" w:type="pct"/>
            <w:tcBorders>
              <w:right w:val="single" w:color="auto" w:sz="4" w:space="0"/>
            </w:tcBorders>
            <w:vAlign w:val="center"/>
          </w:tcPr>
          <w:p>
            <w:pPr>
              <w:jc w:val="center"/>
              <w:rPr>
                <w:rFonts w:ascii="Times New Roman" w:hAnsi="Times New Roman"/>
                <w:color w:val="auto"/>
                <w:szCs w:val="21"/>
                <w:highlight w:val="none"/>
              </w:rPr>
            </w:pPr>
            <w:r>
              <w:rPr>
                <w:rFonts w:ascii="Times New Roman" w:hAnsi="Times New Roman"/>
                <w:color w:val="auto"/>
                <w:szCs w:val="21"/>
                <w:highlight w:val="none"/>
              </w:rPr>
              <w:t>—</w:t>
            </w:r>
          </w:p>
        </w:tc>
        <w:tc>
          <w:tcPr>
            <w:tcW w:w="949" w:type="pct"/>
            <w:tcBorders>
              <w:left w:val="single" w:color="auto" w:sz="4" w:space="0"/>
              <w:right w:val="single" w:color="auto" w:sz="4" w:space="0"/>
            </w:tcBorders>
            <w:vAlign w:val="center"/>
          </w:tcPr>
          <w:p>
            <w:pPr>
              <w:jc w:val="center"/>
              <w:rPr>
                <w:rFonts w:ascii="Times New Roman" w:hAnsi="Times New Roman"/>
                <w:color w:val="auto"/>
                <w:szCs w:val="21"/>
                <w:highlight w:val="none"/>
              </w:rPr>
            </w:pPr>
            <w:r>
              <w:rPr>
                <w:rFonts w:hint="eastAsia" w:ascii="Times New Roman" w:hAnsi="宋体"/>
                <w:color w:val="auto"/>
                <w:szCs w:val="21"/>
                <w:highlight w:val="none"/>
              </w:rPr>
              <w:t>4</w:t>
            </w:r>
            <w:r>
              <w:rPr>
                <w:rFonts w:ascii="Times New Roman" w:hAnsi="宋体"/>
                <w:color w:val="auto"/>
                <w:szCs w:val="21"/>
                <w:highlight w:val="none"/>
              </w:rPr>
              <w:t>h无起泡、无开裂</w:t>
            </w:r>
            <w:r>
              <w:rPr>
                <w:rFonts w:hint="eastAsia" w:ascii="Times New Roman" w:hAnsi="宋体"/>
                <w:color w:val="auto"/>
                <w:szCs w:val="21"/>
                <w:highlight w:val="none"/>
              </w:rPr>
              <w:t>及明显</w:t>
            </w:r>
            <w:r>
              <w:rPr>
                <w:rFonts w:ascii="Times New Roman" w:hAnsi="宋体"/>
                <w:color w:val="auto"/>
                <w:szCs w:val="21"/>
                <w:highlight w:val="none"/>
              </w:rPr>
              <w:t>掉粉</w:t>
            </w:r>
          </w:p>
        </w:tc>
        <w:tc>
          <w:tcPr>
            <w:tcW w:w="949" w:type="pct"/>
            <w:tcBorders>
              <w:left w:val="single" w:color="auto" w:sz="4" w:space="0"/>
            </w:tcBorders>
            <w:vAlign w:val="center"/>
          </w:tcPr>
          <w:p>
            <w:pPr>
              <w:jc w:val="center"/>
              <w:rPr>
                <w:rFonts w:ascii="Times New Roman" w:hAnsi="Times New Roman"/>
                <w:color w:val="auto"/>
                <w:szCs w:val="21"/>
                <w:highlight w:val="none"/>
              </w:rPr>
            </w:pPr>
            <w:r>
              <w:rPr>
                <w:rFonts w:hint="eastAsia" w:ascii="Times New Roman" w:hAnsi="宋体"/>
                <w:color w:val="auto"/>
                <w:szCs w:val="21"/>
                <w:highlight w:val="none"/>
              </w:rPr>
              <w:t>4</w:t>
            </w:r>
            <w:r>
              <w:rPr>
                <w:rFonts w:ascii="Times New Roman" w:hAnsi="宋体"/>
                <w:color w:val="auto"/>
                <w:szCs w:val="21"/>
                <w:highlight w:val="none"/>
              </w:rPr>
              <w:t>8h无起泡、无开裂</w:t>
            </w:r>
            <w:r>
              <w:rPr>
                <w:rFonts w:hint="eastAsia" w:ascii="Times New Roman" w:hAnsi="宋体"/>
                <w:color w:val="auto"/>
                <w:szCs w:val="21"/>
                <w:highlight w:val="none"/>
              </w:rPr>
              <w:t>及明显</w:t>
            </w:r>
            <w:r>
              <w:rPr>
                <w:rFonts w:ascii="Times New Roman" w:hAnsi="宋体"/>
                <w:color w:val="auto"/>
                <w:szCs w:val="21"/>
                <w:highlight w:val="none"/>
              </w:rPr>
              <w:t>掉粉</w:t>
            </w:r>
          </w:p>
        </w:tc>
        <w:tc>
          <w:tcPr>
            <w:tcW w:w="805" w:type="pct"/>
            <w:vAlign w:val="center"/>
          </w:tcPr>
          <w:p>
            <w:pPr>
              <w:jc w:val="center"/>
              <w:rPr>
                <w:rFonts w:ascii="Times New Roman" w:hAnsi="Times New Roman"/>
                <w:color w:val="auto"/>
                <w:szCs w:val="21"/>
                <w:highlight w:val="none"/>
              </w:rPr>
            </w:pPr>
            <w:r>
              <w:rPr>
                <w:rFonts w:ascii="Times New Roman" w:hAnsi="Times New Roman"/>
                <w:color w:val="auto"/>
                <w:szCs w:val="21"/>
                <w:highlight w:val="none"/>
              </w:rPr>
              <w:t>JG/T 298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1" w:type="pct"/>
            <w:vMerge w:val="restart"/>
            <w:vAlign w:val="center"/>
          </w:tcPr>
          <w:p>
            <w:pPr>
              <w:jc w:val="center"/>
              <w:rPr>
                <w:rFonts w:hint="eastAsia" w:ascii="Times New Roman" w:hAnsi="Times New Roman" w:eastAsia="宋体"/>
                <w:color w:val="auto"/>
                <w:szCs w:val="21"/>
                <w:highlight w:val="none"/>
                <w:lang w:eastAsia="zh-CN"/>
              </w:rPr>
            </w:pPr>
            <w:r>
              <w:rPr>
                <w:rFonts w:ascii="Times New Roman" w:hAnsi="宋体"/>
                <w:color w:val="auto"/>
                <w:szCs w:val="21"/>
                <w:highlight w:val="none"/>
              </w:rPr>
              <w:t>粘结强度</w:t>
            </w:r>
            <w:r>
              <w:rPr>
                <w:rFonts w:hint="eastAsia" w:ascii="Times New Roman" w:hAnsi="宋体"/>
                <w:color w:val="auto"/>
                <w:szCs w:val="21"/>
                <w:highlight w:val="none"/>
                <w:lang w:eastAsia="zh-CN"/>
              </w:rPr>
              <w:t>（</w:t>
            </w:r>
            <w:r>
              <w:rPr>
                <w:rFonts w:ascii="Times New Roman" w:hAnsi="Times New Roman"/>
                <w:color w:val="auto"/>
                <w:szCs w:val="21"/>
                <w:highlight w:val="none"/>
              </w:rPr>
              <w:t>MPa</w:t>
            </w:r>
            <w:r>
              <w:rPr>
                <w:rFonts w:hint="eastAsia" w:ascii="Times New Roman" w:hAnsi="宋体"/>
                <w:color w:val="auto"/>
                <w:szCs w:val="21"/>
                <w:highlight w:val="none"/>
                <w:lang w:eastAsia="zh-CN"/>
              </w:rPr>
              <w:t>）</w:t>
            </w:r>
          </w:p>
        </w:tc>
        <w:tc>
          <w:tcPr>
            <w:tcW w:w="675" w:type="pct"/>
            <w:vAlign w:val="center"/>
          </w:tcPr>
          <w:p>
            <w:pPr>
              <w:jc w:val="center"/>
              <w:rPr>
                <w:rFonts w:ascii="Times New Roman" w:hAnsi="Times New Roman"/>
                <w:color w:val="auto"/>
                <w:szCs w:val="21"/>
                <w:highlight w:val="none"/>
              </w:rPr>
            </w:pPr>
            <w:r>
              <w:rPr>
                <w:rFonts w:ascii="Times New Roman" w:hAnsi="宋体"/>
                <w:color w:val="auto"/>
                <w:szCs w:val="21"/>
                <w:highlight w:val="none"/>
              </w:rPr>
              <w:t>标准状态</w:t>
            </w:r>
          </w:p>
        </w:tc>
        <w:tc>
          <w:tcPr>
            <w:tcW w:w="948" w:type="pct"/>
            <w:tcBorders>
              <w:right w:val="single" w:color="auto" w:sz="4" w:space="0"/>
            </w:tcBorders>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rPr>
              <w:t>≥</w:t>
            </w:r>
            <w:r>
              <w:rPr>
                <w:rFonts w:ascii="Times New Roman" w:hAnsi="Times New Roman"/>
                <w:color w:val="auto"/>
                <w:szCs w:val="21"/>
                <w:highlight w:val="none"/>
              </w:rPr>
              <w:t>0.30</w:t>
            </w:r>
          </w:p>
        </w:tc>
        <w:tc>
          <w:tcPr>
            <w:tcW w:w="949" w:type="pct"/>
            <w:tcBorders>
              <w:left w:val="single" w:color="auto" w:sz="4" w:space="0"/>
              <w:right w:val="single" w:color="auto" w:sz="4" w:space="0"/>
            </w:tcBorders>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rPr>
              <w:t>≥</w:t>
            </w:r>
            <w:r>
              <w:rPr>
                <w:rFonts w:ascii="Times New Roman" w:hAnsi="Times New Roman"/>
                <w:color w:val="auto"/>
                <w:szCs w:val="21"/>
                <w:highlight w:val="none"/>
              </w:rPr>
              <w:t>0.40</w:t>
            </w:r>
          </w:p>
        </w:tc>
        <w:tc>
          <w:tcPr>
            <w:tcW w:w="949" w:type="pct"/>
            <w:tcBorders>
              <w:left w:val="single" w:color="auto" w:sz="4" w:space="0"/>
            </w:tcBorders>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rPr>
              <w:t>≥</w:t>
            </w:r>
            <w:r>
              <w:rPr>
                <w:rFonts w:ascii="Times New Roman" w:hAnsi="Times New Roman"/>
                <w:color w:val="auto"/>
                <w:szCs w:val="21"/>
                <w:highlight w:val="none"/>
              </w:rPr>
              <w:t>0.50</w:t>
            </w:r>
          </w:p>
        </w:tc>
        <w:tc>
          <w:tcPr>
            <w:tcW w:w="805" w:type="pct"/>
            <w:vMerge w:val="restart"/>
            <w:vAlign w:val="center"/>
          </w:tcPr>
          <w:p>
            <w:pPr>
              <w:jc w:val="center"/>
              <w:rPr>
                <w:rFonts w:ascii="Times New Roman" w:hAnsi="Times New Roman"/>
                <w:color w:val="auto"/>
                <w:szCs w:val="21"/>
                <w:highlight w:val="none"/>
              </w:rPr>
            </w:pPr>
            <w:r>
              <w:rPr>
                <w:rFonts w:ascii="Times New Roman" w:hAnsi="Times New Roman"/>
                <w:color w:val="auto"/>
                <w:szCs w:val="21"/>
                <w:highlight w:val="none"/>
              </w:rPr>
              <w:t>JG/T 298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71" w:type="pct"/>
            <w:vMerge w:val="continue"/>
            <w:vAlign w:val="center"/>
          </w:tcPr>
          <w:p>
            <w:pPr>
              <w:jc w:val="center"/>
              <w:rPr>
                <w:rFonts w:ascii="Times New Roman" w:hAnsi="Times New Roman"/>
                <w:color w:val="auto"/>
                <w:szCs w:val="21"/>
                <w:highlight w:val="none"/>
              </w:rPr>
            </w:pPr>
          </w:p>
        </w:tc>
        <w:tc>
          <w:tcPr>
            <w:tcW w:w="675" w:type="pct"/>
            <w:vAlign w:val="center"/>
          </w:tcPr>
          <w:p>
            <w:pPr>
              <w:jc w:val="center"/>
              <w:rPr>
                <w:rFonts w:ascii="Times New Roman" w:hAnsi="Times New Roman"/>
                <w:color w:val="auto"/>
                <w:szCs w:val="21"/>
                <w:highlight w:val="none"/>
              </w:rPr>
            </w:pPr>
            <w:r>
              <w:rPr>
                <w:rFonts w:hint="eastAsia" w:ascii="Times New Roman" w:hAnsi="宋体"/>
                <w:color w:val="auto"/>
                <w:szCs w:val="21"/>
                <w:highlight w:val="none"/>
              </w:rPr>
              <w:t>浸水</w:t>
            </w:r>
            <w:r>
              <w:rPr>
                <w:rFonts w:ascii="Times New Roman" w:hAnsi="宋体"/>
                <w:color w:val="auto"/>
                <w:szCs w:val="21"/>
                <w:highlight w:val="none"/>
              </w:rPr>
              <w:t>后</w:t>
            </w:r>
          </w:p>
        </w:tc>
        <w:tc>
          <w:tcPr>
            <w:tcW w:w="948" w:type="pct"/>
            <w:tcBorders>
              <w:right w:val="single" w:color="auto" w:sz="4" w:space="0"/>
            </w:tcBorders>
            <w:vAlign w:val="center"/>
          </w:tcPr>
          <w:p>
            <w:pPr>
              <w:jc w:val="center"/>
              <w:rPr>
                <w:rFonts w:ascii="Times New Roman" w:hAnsi="Times New Roman"/>
                <w:color w:val="auto"/>
                <w:szCs w:val="21"/>
                <w:highlight w:val="none"/>
              </w:rPr>
            </w:pPr>
            <w:r>
              <w:rPr>
                <w:rFonts w:ascii="Times New Roman" w:hAnsi="Times New Roman"/>
                <w:color w:val="auto"/>
                <w:szCs w:val="21"/>
                <w:highlight w:val="none"/>
              </w:rPr>
              <w:t>—</w:t>
            </w:r>
          </w:p>
        </w:tc>
        <w:tc>
          <w:tcPr>
            <w:tcW w:w="949" w:type="pct"/>
            <w:tcBorders>
              <w:left w:val="single" w:color="auto" w:sz="4" w:space="0"/>
              <w:right w:val="single" w:color="auto" w:sz="4" w:space="0"/>
            </w:tcBorders>
            <w:vAlign w:val="center"/>
          </w:tcPr>
          <w:p>
            <w:pPr>
              <w:jc w:val="center"/>
              <w:rPr>
                <w:rFonts w:ascii="Times New Roman" w:hAnsi="Times New Roman"/>
                <w:color w:val="auto"/>
                <w:szCs w:val="21"/>
                <w:highlight w:val="none"/>
              </w:rPr>
            </w:pPr>
            <w:r>
              <w:rPr>
                <w:rFonts w:ascii="Times New Roman" w:hAnsi="Times New Roman"/>
                <w:color w:val="auto"/>
                <w:szCs w:val="21"/>
                <w:highlight w:val="none"/>
              </w:rPr>
              <w:t>—</w:t>
            </w:r>
          </w:p>
        </w:tc>
        <w:tc>
          <w:tcPr>
            <w:tcW w:w="949" w:type="pct"/>
            <w:tcBorders>
              <w:left w:val="single" w:color="auto" w:sz="4" w:space="0"/>
            </w:tcBorders>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rPr>
              <w:t>≥</w:t>
            </w:r>
            <w:r>
              <w:rPr>
                <w:rFonts w:ascii="Times New Roman" w:hAnsi="Times New Roman"/>
                <w:color w:val="auto"/>
                <w:szCs w:val="21"/>
                <w:highlight w:val="none"/>
              </w:rPr>
              <w:t>0.30</w:t>
            </w:r>
          </w:p>
        </w:tc>
        <w:tc>
          <w:tcPr>
            <w:tcW w:w="805" w:type="pct"/>
            <w:vMerge w:val="continue"/>
            <w:vAlign w:val="center"/>
          </w:tcPr>
          <w:p>
            <w:pPr>
              <w:jc w:val="center"/>
              <w:rPr>
                <w:rFonts w:ascii="Times New Roman" w:hAnsi="Times New Roman"/>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346" w:type="pct"/>
            <w:gridSpan w:val="2"/>
            <w:vAlign w:val="center"/>
          </w:tcPr>
          <w:p>
            <w:pPr>
              <w:jc w:val="center"/>
              <w:rPr>
                <w:rFonts w:ascii="Times New Roman" w:hAnsi="Times New Roman"/>
                <w:color w:val="auto"/>
                <w:szCs w:val="21"/>
                <w:highlight w:val="none"/>
              </w:rPr>
            </w:pPr>
            <w:r>
              <w:rPr>
                <w:rFonts w:ascii="Times New Roman" w:hAnsi="宋体"/>
                <w:color w:val="auto"/>
                <w:szCs w:val="21"/>
                <w:highlight w:val="none"/>
              </w:rPr>
              <w:t>柔韧性</w:t>
            </w:r>
          </w:p>
        </w:tc>
        <w:tc>
          <w:tcPr>
            <w:tcW w:w="948" w:type="pct"/>
            <w:tcBorders>
              <w:right w:val="single" w:color="auto" w:sz="4" w:space="0"/>
            </w:tcBorders>
            <w:vAlign w:val="center"/>
          </w:tcPr>
          <w:p>
            <w:pPr>
              <w:jc w:val="center"/>
              <w:rPr>
                <w:rFonts w:ascii="Times New Roman" w:hAnsi="Times New Roman"/>
                <w:color w:val="auto"/>
                <w:szCs w:val="21"/>
                <w:highlight w:val="none"/>
              </w:rPr>
            </w:pPr>
          </w:p>
        </w:tc>
        <w:tc>
          <w:tcPr>
            <w:tcW w:w="949" w:type="pct"/>
            <w:tcBorders>
              <w:right w:val="single" w:color="auto" w:sz="4" w:space="0"/>
            </w:tcBorders>
            <w:vAlign w:val="center"/>
          </w:tcPr>
          <w:p>
            <w:pPr>
              <w:jc w:val="center"/>
              <w:rPr>
                <w:rFonts w:ascii="Times New Roman" w:hAnsi="Times New Roman"/>
                <w:color w:val="auto"/>
                <w:szCs w:val="21"/>
                <w:highlight w:val="none"/>
              </w:rPr>
            </w:pPr>
            <w:r>
              <w:rPr>
                <w:rFonts w:ascii="Times New Roman" w:hAnsi="宋体"/>
                <w:color w:val="auto"/>
                <w:szCs w:val="21"/>
                <w:highlight w:val="none"/>
              </w:rPr>
              <w:t>直径</w:t>
            </w:r>
            <w:r>
              <w:rPr>
                <w:rFonts w:ascii="Times New Roman" w:hAnsi="Times New Roman"/>
                <w:color w:val="auto"/>
                <w:szCs w:val="21"/>
                <w:highlight w:val="none"/>
              </w:rPr>
              <w:t>100mm</w:t>
            </w:r>
            <w:r>
              <w:rPr>
                <w:rFonts w:ascii="Times New Roman" w:hAnsi="宋体"/>
                <w:color w:val="auto"/>
                <w:szCs w:val="21"/>
                <w:highlight w:val="none"/>
              </w:rPr>
              <w:t>，无裂纹</w:t>
            </w:r>
          </w:p>
        </w:tc>
        <w:tc>
          <w:tcPr>
            <w:tcW w:w="949" w:type="pct"/>
            <w:tcBorders>
              <w:left w:val="single" w:color="auto" w:sz="4" w:space="0"/>
            </w:tcBorders>
            <w:vAlign w:val="center"/>
          </w:tcPr>
          <w:p>
            <w:pPr>
              <w:jc w:val="center"/>
              <w:rPr>
                <w:rFonts w:ascii="Times New Roman" w:hAnsi="Times New Roman"/>
                <w:color w:val="auto"/>
                <w:szCs w:val="21"/>
                <w:highlight w:val="none"/>
              </w:rPr>
            </w:pPr>
          </w:p>
        </w:tc>
        <w:tc>
          <w:tcPr>
            <w:tcW w:w="805" w:type="pct"/>
            <w:vAlign w:val="center"/>
          </w:tcPr>
          <w:p>
            <w:pPr>
              <w:jc w:val="center"/>
              <w:rPr>
                <w:rFonts w:ascii="Times New Roman" w:hAnsi="Times New Roman"/>
                <w:color w:val="auto"/>
                <w:szCs w:val="21"/>
                <w:highlight w:val="none"/>
              </w:rPr>
            </w:pPr>
            <w:r>
              <w:rPr>
                <w:rFonts w:ascii="Times New Roman" w:hAnsi="Times New Roman"/>
                <w:color w:val="auto"/>
                <w:szCs w:val="21"/>
                <w:highlight w:val="none"/>
              </w:rPr>
              <w:t>GB/T 1748</w:t>
            </w:r>
          </w:p>
        </w:tc>
      </w:tr>
    </w:tbl>
    <w:p>
      <w:pPr>
        <w:widowControl/>
        <w:spacing w:line="360" w:lineRule="auto"/>
        <w:jc w:val="left"/>
        <w:rPr>
          <w:rFonts w:ascii="Times New Roman" w:hAnsi="宋体"/>
          <w:color w:val="auto"/>
          <w:szCs w:val="21"/>
          <w:highlight w:val="none"/>
        </w:rPr>
      </w:pPr>
      <w:r>
        <w:rPr>
          <w:rFonts w:hint="eastAsia" w:ascii="Times New Roman" w:hAnsi="宋体"/>
          <w:color w:val="auto"/>
          <w:szCs w:val="21"/>
          <w:highlight w:val="none"/>
        </w:rPr>
        <w:t>注：</w:t>
      </w:r>
      <w:r>
        <w:rPr>
          <w:rFonts w:ascii="Times New Roman" w:hAnsi="宋体"/>
          <w:color w:val="auto"/>
          <w:szCs w:val="21"/>
          <w:highlight w:val="none"/>
        </w:rPr>
        <w:t>低温贮存稳定性仅适用于液态或膏状产品。</w:t>
      </w:r>
    </w:p>
    <w:p>
      <w:pPr>
        <w:spacing w:line="360" w:lineRule="auto"/>
        <w:outlineLvl w:val="2"/>
        <w:rPr>
          <w:color w:val="auto"/>
          <w:sz w:val="24"/>
          <w:highlight w:val="none"/>
        </w:rPr>
      </w:pPr>
      <w:r>
        <w:rPr>
          <w:rFonts w:hint="eastAsia"/>
          <w:b/>
          <w:color w:val="auto"/>
          <w:sz w:val="24"/>
          <w:highlight w:val="none"/>
        </w:rPr>
        <w:t>4.3.1</w:t>
      </w:r>
      <w:r>
        <w:rPr>
          <w:rFonts w:hint="eastAsia" w:hAnsi="宋体"/>
          <w:color w:val="auto"/>
          <w:sz w:val="24"/>
          <w:highlight w:val="none"/>
          <w:lang w:val="en-US" w:eastAsia="zh-CN"/>
        </w:rPr>
        <w:t xml:space="preserve">4 </w:t>
      </w:r>
      <w:r>
        <w:rPr>
          <w:rFonts w:hint="eastAsia" w:hAnsi="宋体"/>
          <w:color w:val="auto"/>
          <w:sz w:val="24"/>
          <w:highlight w:val="none"/>
        </w:rPr>
        <w:t>内保温复合板</w:t>
      </w:r>
      <w:r>
        <w:rPr>
          <w:rFonts w:hint="eastAsia"/>
          <w:color w:val="auto"/>
          <w:sz w:val="24"/>
          <w:highlight w:val="none"/>
        </w:rPr>
        <w:t>面板材料应符合下列规定：</w:t>
      </w:r>
    </w:p>
    <w:p>
      <w:pPr>
        <w:spacing w:line="360" w:lineRule="auto"/>
        <w:ind w:firstLine="480" w:firstLineChars="200"/>
        <w:rPr>
          <w:color w:val="auto"/>
          <w:sz w:val="24"/>
          <w:highlight w:val="none"/>
        </w:rPr>
      </w:pPr>
      <w:r>
        <w:rPr>
          <w:color w:val="auto"/>
          <w:sz w:val="24"/>
          <w:highlight w:val="none"/>
        </w:rPr>
        <w:t>1</w:t>
      </w:r>
      <w:r>
        <w:rPr>
          <w:rFonts w:hint="eastAsia"/>
          <w:color w:val="auto"/>
          <w:sz w:val="24"/>
          <w:highlight w:val="none"/>
        </w:rPr>
        <w:t>纸面石膏板应符合现行国家标准《纸面石膏板》</w:t>
      </w:r>
      <w:r>
        <w:rPr>
          <w:color w:val="auto"/>
          <w:sz w:val="24"/>
          <w:highlight w:val="none"/>
        </w:rPr>
        <w:t>GB/T 9775</w:t>
      </w:r>
      <w:r>
        <w:rPr>
          <w:rFonts w:hint="eastAsia"/>
          <w:color w:val="auto"/>
          <w:sz w:val="24"/>
          <w:highlight w:val="none"/>
        </w:rPr>
        <w:t>的规定。</w:t>
      </w:r>
    </w:p>
    <w:p>
      <w:pPr>
        <w:spacing w:line="360" w:lineRule="auto"/>
        <w:ind w:firstLine="480" w:firstLineChars="200"/>
        <w:rPr>
          <w:color w:val="auto"/>
          <w:sz w:val="24"/>
          <w:highlight w:val="none"/>
        </w:rPr>
      </w:pPr>
      <w:r>
        <w:rPr>
          <w:color w:val="auto"/>
          <w:sz w:val="24"/>
          <w:highlight w:val="none"/>
        </w:rPr>
        <w:t>2</w:t>
      </w:r>
      <w:r>
        <w:rPr>
          <w:rFonts w:hint="eastAsia"/>
          <w:color w:val="auto"/>
          <w:sz w:val="24"/>
          <w:highlight w:val="none"/>
        </w:rPr>
        <w:t>无石棉纤维水泥板应符合现行行业标准《纤维水泥平板第一部分：无石棉纤维水泥板》</w:t>
      </w:r>
      <w:r>
        <w:rPr>
          <w:color w:val="auto"/>
          <w:sz w:val="24"/>
          <w:highlight w:val="none"/>
        </w:rPr>
        <w:t>JC/T 412.1</w:t>
      </w:r>
      <w:r>
        <w:rPr>
          <w:rFonts w:hint="eastAsia"/>
          <w:color w:val="auto"/>
          <w:sz w:val="24"/>
          <w:highlight w:val="none"/>
        </w:rPr>
        <w:t>的规定。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color w:val="auto"/>
          <w:sz w:val="24"/>
          <w:highlight w:val="none"/>
        </w:rPr>
      </w:pPr>
      <w:r>
        <w:rPr>
          <w:color w:val="auto"/>
          <w:sz w:val="24"/>
          <w:highlight w:val="none"/>
        </w:rPr>
        <w:t>3</w:t>
      </w:r>
      <w:r>
        <w:rPr>
          <w:rFonts w:hint="eastAsia"/>
          <w:color w:val="auto"/>
          <w:sz w:val="24"/>
          <w:highlight w:val="none"/>
        </w:rPr>
        <w:t>无石棉硅酸钙板应符合现行行业标准《纤维增强硅酸钙板第一部分：无石棉硅酸钙板》</w:t>
      </w:r>
      <w:r>
        <w:rPr>
          <w:color w:val="auto"/>
          <w:sz w:val="24"/>
          <w:highlight w:val="none"/>
        </w:rPr>
        <w:t>JC/T</w:t>
      </w:r>
      <w:r>
        <w:rPr>
          <w:rFonts w:hint="eastAsia"/>
          <w:color w:val="auto"/>
          <w:sz w:val="24"/>
          <w:highlight w:val="none"/>
          <w:lang w:val="en-US" w:eastAsia="zh-CN"/>
        </w:rPr>
        <w:t xml:space="preserve"> </w:t>
      </w:r>
      <w:r>
        <w:rPr>
          <w:color w:val="auto"/>
          <w:sz w:val="24"/>
          <w:highlight w:val="none"/>
        </w:rPr>
        <w:t>564.1</w:t>
      </w:r>
      <w:r>
        <w:rPr>
          <w:rFonts w:hint="eastAsia"/>
          <w:color w:val="auto"/>
          <w:sz w:val="24"/>
          <w:highlight w:val="none"/>
        </w:rPr>
        <w:t>的规定。</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color w:val="auto"/>
          <w:highlight w:val="none"/>
        </w:rPr>
      </w:pPr>
      <w:r>
        <w:rPr>
          <w:rFonts w:hint="eastAsia"/>
          <w:b/>
          <w:color w:val="auto"/>
          <w:sz w:val="24"/>
          <w:highlight w:val="none"/>
        </w:rPr>
        <w:t>4.3.1</w:t>
      </w:r>
      <w:r>
        <w:rPr>
          <w:rFonts w:hint="eastAsia"/>
          <w:b/>
          <w:color w:val="auto"/>
          <w:sz w:val="24"/>
          <w:highlight w:val="none"/>
          <w:lang w:val="en-US" w:eastAsia="zh-CN"/>
        </w:rPr>
        <w:t>5</w:t>
      </w:r>
      <w:r>
        <w:rPr>
          <w:rFonts w:hint="eastAsia"/>
          <w:color w:val="auto"/>
          <w:sz w:val="24"/>
          <w:highlight w:val="none"/>
        </w:rPr>
        <w:t>内</w:t>
      </w:r>
      <w:r>
        <w:rPr>
          <w:rFonts w:hint="eastAsia" w:hAnsi="宋体"/>
          <w:color w:val="auto"/>
          <w:sz w:val="24"/>
          <w:highlight w:val="none"/>
        </w:rPr>
        <w:t>保温复合板系统用</w:t>
      </w:r>
      <w:r>
        <w:rPr>
          <w:rFonts w:hint="eastAsia"/>
          <w:color w:val="auto"/>
          <w:sz w:val="24"/>
          <w:highlight w:val="none"/>
        </w:rPr>
        <w:t>嵌缝材料、隔气层材料、饰面材料等配套材料的性能应符合国家现行有关标准的规定。</w:t>
      </w:r>
    </w:p>
    <w:p>
      <w:pPr>
        <w:rPr>
          <w:color w:val="auto"/>
          <w:highlight w:val="none"/>
        </w:rPr>
      </w:pPr>
    </w:p>
    <w:p>
      <w:pPr>
        <w:rPr>
          <w:rFonts w:ascii="Times New Roman" w:hAnsi="Times New Roman"/>
          <w:color w:val="auto"/>
          <w:sz w:val="28"/>
          <w:szCs w:val="28"/>
          <w:highlight w:val="none"/>
        </w:rPr>
      </w:pPr>
      <w:bookmarkStart w:id="164" w:name="_Toc314828586"/>
      <w:bookmarkStart w:id="165" w:name="_Toc427234981"/>
      <w:bookmarkStart w:id="166" w:name="_Toc329789375"/>
      <w:bookmarkStart w:id="167" w:name="_Toc6395476"/>
      <w:bookmarkStart w:id="168" w:name="_Toc315775025"/>
      <w:bookmarkStart w:id="169" w:name="_Toc524349281"/>
      <w:bookmarkStart w:id="170" w:name="_Toc24695"/>
      <w:r>
        <w:rPr>
          <w:rFonts w:ascii="Times New Roman" w:hAnsi="Times New Roman"/>
          <w:color w:val="auto"/>
          <w:sz w:val="28"/>
          <w:szCs w:val="28"/>
          <w:highlight w:val="none"/>
        </w:rPr>
        <w:br w:type="page"/>
      </w:r>
    </w:p>
    <w:p>
      <w:pPr>
        <w:pStyle w:val="4"/>
        <w:bidi w:val="0"/>
        <w:rPr>
          <w:color w:val="auto"/>
          <w:highlight w:val="none"/>
        </w:rPr>
      </w:pPr>
      <w:bookmarkStart w:id="171" w:name="_Toc11970"/>
      <w:bookmarkStart w:id="172" w:name="_Toc3618"/>
      <w:bookmarkStart w:id="173" w:name="_Toc21860"/>
      <w:bookmarkStart w:id="174" w:name="_Toc8822"/>
      <w:bookmarkStart w:id="175" w:name="_Toc7006"/>
      <w:r>
        <w:rPr>
          <w:color w:val="auto"/>
          <w:highlight w:val="none"/>
        </w:rPr>
        <w:t xml:space="preserve">5  </w:t>
      </w:r>
      <w:r>
        <w:rPr>
          <w:rFonts w:hint="eastAsia"/>
          <w:color w:val="auto"/>
          <w:highlight w:val="none"/>
        </w:rPr>
        <w:t>设计</w:t>
      </w:r>
      <w:bookmarkEnd w:id="164"/>
      <w:bookmarkEnd w:id="165"/>
      <w:bookmarkEnd w:id="166"/>
      <w:bookmarkEnd w:id="167"/>
      <w:bookmarkEnd w:id="168"/>
      <w:bookmarkEnd w:id="169"/>
      <w:r>
        <w:rPr>
          <w:rFonts w:hint="eastAsia"/>
          <w:color w:val="auto"/>
          <w:highlight w:val="none"/>
        </w:rPr>
        <w:t>与系统</w:t>
      </w:r>
      <w:r>
        <w:rPr>
          <w:color w:val="auto"/>
          <w:highlight w:val="none"/>
        </w:rPr>
        <w:t>构造</w:t>
      </w:r>
      <w:bookmarkEnd w:id="170"/>
      <w:bookmarkEnd w:id="171"/>
      <w:bookmarkEnd w:id="172"/>
      <w:bookmarkEnd w:id="173"/>
      <w:bookmarkEnd w:id="174"/>
      <w:bookmarkEnd w:id="175"/>
    </w:p>
    <w:p>
      <w:pPr>
        <w:pStyle w:val="5"/>
        <w:bidi w:val="0"/>
        <w:rPr>
          <w:color w:val="auto"/>
          <w:highlight w:val="none"/>
        </w:rPr>
      </w:pPr>
      <w:bookmarkStart w:id="176" w:name="_Toc314828587"/>
      <w:bookmarkStart w:id="177" w:name="_Toc524349282"/>
      <w:bookmarkStart w:id="178" w:name="_Toc427234982"/>
      <w:bookmarkStart w:id="179" w:name="_Toc329789376"/>
      <w:bookmarkStart w:id="180" w:name="_Toc6395477"/>
      <w:bookmarkStart w:id="181" w:name="_Toc315775026"/>
      <w:bookmarkStart w:id="182" w:name="_Toc12789"/>
      <w:bookmarkStart w:id="183" w:name="_Toc6922"/>
      <w:bookmarkStart w:id="184" w:name="_Toc13342"/>
      <w:bookmarkStart w:id="185" w:name="_Toc32248"/>
      <w:bookmarkStart w:id="186" w:name="_Toc29508"/>
      <w:r>
        <w:rPr>
          <w:color w:val="auto"/>
          <w:highlight w:val="none"/>
        </w:rPr>
        <w:t xml:space="preserve">5.1 </w:t>
      </w:r>
      <w:bookmarkEnd w:id="176"/>
      <w:bookmarkEnd w:id="177"/>
      <w:bookmarkEnd w:id="178"/>
      <w:bookmarkEnd w:id="179"/>
      <w:bookmarkEnd w:id="180"/>
      <w:bookmarkEnd w:id="181"/>
      <w:r>
        <w:rPr>
          <w:rFonts w:hint="eastAsia"/>
          <w:color w:val="auto"/>
          <w:highlight w:val="none"/>
        </w:rPr>
        <w:t>一般规定</w:t>
      </w:r>
      <w:bookmarkEnd w:id="182"/>
      <w:bookmarkEnd w:id="183"/>
      <w:bookmarkEnd w:id="184"/>
      <w:bookmarkEnd w:id="185"/>
      <w:bookmarkEnd w:id="186"/>
    </w:p>
    <w:p>
      <w:pPr>
        <w:widowControl/>
        <w:spacing w:line="360" w:lineRule="auto"/>
        <w:rPr>
          <w:rFonts w:ascii="楷体" w:hAnsi="楷体" w:eastAsia="楷体"/>
          <w:color w:val="auto"/>
          <w:sz w:val="24"/>
          <w:szCs w:val="24"/>
          <w:highlight w:val="none"/>
        </w:rPr>
      </w:pPr>
    </w:p>
    <w:p>
      <w:pPr>
        <w:spacing w:line="360" w:lineRule="auto"/>
        <w:outlineLvl w:val="2"/>
        <w:rPr>
          <w:rFonts w:asciiTheme="majorEastAsia" w:hAnsiTheme="majorEastAsia" w:eastAsiaTheme="majorEastAsia"/>
          <w:color w:val="auto"/>
          <w:sz w:val="24"/>
          <w:szCs w:val="24"/>
          <w:highlight w:val="none"/>
        </w:rPr>
      </w:pPr>
      <w:bookmarkStart w:id="187" w:name="_Toc17760"/>
      <w:r>
        <w:rPr>
          <w:rFonts w:asciiTheme="majorEastAsia" w:hAnsiTheme="majorEastAsia" w:eastAsiaTheme="majorEastAsia"/>
          <w:color w:val="auto"/>
          <w:sz w:val="24"/>
          <w:szCs w:val="24"/>
          <w:highlight w:val="none"/>
        </w:rPr>
        <w:t>5.1.</w:t>
      </w:r>
      <w:r>
        <w:rPr>
          <w:rFonts w:hint="eastAsia" w:asciiTheme="majorEastAsia" w:hAnsiTheme="majorEastAsia" w:eastAsiaTheme="majorEastAsia"/>
          <w:color w:val="auto"/>
          <w:sz w:val="24"/>
          <w:szCs w:val="24"/>
          <w:highlight w:val="none"/>
        </w:rPr>
        <w:t>1</w:t>
      </w:r>
      <w:r>
        <w:rPr>
          <w:rFonts w:asciiTheme="majorEastAsia" w:hAnsiTheme="majorEastAsia" w:eastAsiaTheme="majorEastAsia"/>
          <w:color w:val="auto"/>
          <w:sz w:val="24"/>
          <w:szCs w:val="24"/>
          <w:highlight w:val="none"/>
        </w:rPr>
        <w:t xml:space="preserve"> </w:t>
      </w:r>
      <w:r>
        <w:rPr>
          <w:rFonts w:hint="eastAsia" w:asciiTheme="majorEastAsia" w:hAnsiTheme="majorEastAsia" w:eastAsiaTheme="majorEastAsia"/>
          <w:color w:val="auto"/>
          <w:sz w:val="24"/>
          <w:szCs w:val="24"/>
          <w:highlight w:val="none"/>
        </w:rPr>
        <w:t>在内保温</w:t>
      </w:r>
      <w:r>
        <w:rPr>
          <w:rFonts w:asciiTheme="majorEastAsia" w:hAnsiTheme="majorEastAsia" w:eastAsiaTheme="majorEastAsia"/>
          <w:color w:val="auto"/>
          <w:sz w:val="24"/>
          <w:szCs w:val="24"/>
          <w:highlight w:val="none"/>
        </w:rPr>
        <w:t>复合墙体上安装设备、管道或悬挂重物时，其</w:t>
      </w:r>
      <w:r>
        <w:rPr>
          <w:rFonts w:hint="eastAsia" w:asciiTheme="majorEastAsia" w:hAnsiTheme="majorEastAsia" w:eastAsiaTheme="majorEastAsia"/>
          <w:color w:val="auto"/>
          <w:sz w:val="24"/>
          <w:szCs w:val="24"/>
          <w:highlight w:val="none"/>
        </w:rPr>
        <w:t>支承</w:t>
      </w:r>
      <w:r>
        <w:rPr>
          <w:rFonts w:asciiTheme="majorEastAsia" w:hAnsiTheme="majorEastAsia" w:eastAsiaTheme="majorEastAsia"/>
          <w:color w:val="auto"/>
          <w:sz w:val="24"/>
          <w:szCs w:val="24"/>
          <w:highlight w:val="none"/>
        </w:rPr>
        <w:t>的埋件应固定于基层墙体上，并应做封闭设计。</w:t>
      </w:r>
      <w:bookmarkEnd w:id="187"/>
    </w:p>
    <w:p>
      <w:pPr>
        <w:widowControl/>
        <w:spacing w:line="360" w:lineRule="auto"/>
        <w:rPr>
          <w:rFonts w:asciiTheme="majorEastAsia" w:hAnsiTheme="majorEastAsia" w:eastAsiaTheme="majorEastAsia"/>
          <w:color w:val="auto"/>
          <w:sz w:val="24"/>
          <w:szCs w:val="24"/>
          <w:highlight w:val="none"/>
        </w:rPr>
      </w:pPr>
      <w:r>
        <w:rPr>
          <w:rFonts w:hint="eastAsia" w:ascii="楷体" w:hAnsi="楷体" w:eastAsia="楷体"/>
          <w:color w:val="auto"/>
          <w:sz w:val="24"/>
          <w:szCs w:val="24"/>
          <w:highlight w:val="none"/>
        </w:rPr>
        <w:t>【条文说明】</w:t>
      </w:r>
      <w:r>
        <w:rPr>
          <w:rFonts w:hint="eastAsia" w:ascii="楷体" w:hAnsi="楷体" w:eastAsia="楷体"/>
          <w:color w:val="auto"/>
          <w:sz w:val="24"/>
          <w:szCs w:val="24"/>
          <w:highlight w:val="none"/>
          <w:lang w:val="en-US" w:eastAsia="zh-CN"/>
        </w:rPr>
        <w:t>5.1.1</w:t>
      </w:r>
      <w:r>
        <w:rPr>
          <w:rFonts w:hint="eastAsia" w:ascii="楷体" w:hAnsi="楷体" w:eastAsia="楷体"/>
          <w:color w:val="auto"/>
          <w:sz w:val="24"/>
          <w:szCs w:val="24"/>
          <w:highlight w:val="none"/>
        </w:rPr>
        <w:t>内保温墙面上的设备管道、支架等重物不能直接固定在复合板上，所以必须在图纸中标明，应有节点详图绘制明确固定方式及密封措施。</w:t>
      </w:r>
      <w:bookmarkStart w:id="188" w:name="_Toc28834"/>
    </w:p>
    <w:p>
      <w:pPr>
        <w:spacing w:line="360" w:lineRule="auto"/>
        <w:outlineLvl w:val="2"/>
        <w:rPr>
          <w:rFonts w:asciiTheme="majorEastAsia" w:hAnsiTheme="majorEastAsia" w:eastAsiaTheme="majorEastAsia"/>
          <w:color w:val="auto"/>
          <w:sz w:val="24"/>
          <w:szCs w:val="24"/>
          <w:highlight w:val="none"/>
        </w:rPr>
      </w:pPr>
      <w:r>
        <w:rPr>
          <w:rFonts w:asciiTheme="majorEastAsia" w:hAnsiTheme="majorEastAsia" w:eastAsiaTheme="majorEastAsia"/>
          <w:color w:val="auto"/>
          <w:sz w:val="24"/>
          <w:szCs w:val="24"/>
          <w:highlight w:val="none"/>
        </w:rPr>
        <w:t>5.1.</w:t>
      </w:r>
      <w:r>
        <w:rPr>
          <w:rFonts w:hint="eastAsia" w:asciiTheme="majorEastAsia" w:hAnsiTheme="majorEastAsia" w:eastAsiaTheme="majorEastAsia"/>
          <w:color w:val="auto"/>
          <w:sz w:val="24"/>
          <w:szCs w:val="24"/>
          <w:highlight w:val="none"/>
        </w:rPr>
        <w:t>2</w:t>
      </w:r>
      <w:r>
        <w:rPr>
          <w:rFonts w:asciiTheme="majorEastAsia" w:hAnsiTheme="majorEastAsia" w:eastAsiaTheme="majorEastAsia"/>
          <w:color w:val="auto"/>
          <w:sz w:val="24"/>
          <w:szCs w:val="24"/>
          <w:highlight w:val="none"/>
        </w:rPr>
        <w:t xml:space="preserve"> </w:t>
      </w:r>
      <w:r>
        <w:rPr>
          <w:rFonts w:hint="eastAsia" w:asciiTheme="majorEastAsia" w:hAnsiTheme="majorEastAsia" w:eastAsiaTheme="majorEastAsia"/>
          <w:color w:val="auto"/>
          <w:sz w:val="24"/>
          <w:szCs w:val="24"/>
          <w:highlight w:val="none"/>
        </w:rPr>
        <w:t>内保温工程</w:t>
      </w:r>
      <w:r>
        <w:rPr>
          <w:rFonts w:asciiTheme="majorEastAsia" w:hAnsiTheme="majorEastAsia" w:eastAsiaTheme="majorEastAsia"/>
          <w:color w:val="auto"/>
          <w:sz w:val="24"/>
          <w:szCs w:val="24"/>
          <w:highlight w:val="none"/>
        </w:rPr>
        <w:t>的热工和节能设计</w:t>
      </w:r>
      <w:r>
        <w:rPr>
          <w:rFonts w:hint="eastAsia" w:asciiTheme="majorEastAsia" w:hAnsiTheme="majorEastAsia" w:eastAsiaTheme="majorEastAsia"/>
          <w:color w:val="auto"/>
          <w:sz w:val="24"/>
          <w:szCs w:val="24"/>
          <w:highlight w:val="none"/>
        </w:rPr>
        <w:t>应</w:t>
      </w:r>
      <w:r>
        <w:rPr>
          <w:rFonts w:asciiTheme="majorEastAsia" w:hAnsiTheme="majorEastAsia" w:eastAsiaTheme="majorEastAsia"/>
          <w:color w:val="auto"/>
          <w:sz w:val="24"/>
          <w:szCs w:val="24"/>
          <w:highlight w:val="none"/>
        </w:rPr>
        <w:t>符合下列规定：</w:t>
      </w:r>
      <w:bookmarkEnd w:id="188"/>
    </w:p>
    <w:p>
      <w:pPr>
        <w:widowControl/>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1</w:t>
      </w:r>
      <w:r>
        <w:rPr>
          <w:rFonts w:hint="eastAsia" w:ascii="Times New Roman" w:hAnsi="Times New Roman"/>
          <w:color w:val="auto"/>
          <w:sz w:val="24"/>
          <w:szCs w:val="24"/>
          <w:highlight w:val="none"/>
        </w:rPr>
        <w:t>外墙内保温</w:t>
      </w:r>
      <w:r>
        <w:rPr>
          <w:rFonts w:ascii="Times New Roman" w:hAnsi="Times New Roman"/>
          <w:color w:val="auto"/>
          <w:sz w:val="24"/>
          <w:szCs w:val="24"/>
          <w:highlight w:val="none"/>
        </w:rPr>
        <w:t>系统</w:t>
      </w:r>
      <w:r>
        <w:rPr>
          <w:rFonts w:hint="eastAsia" w:ascii="Times New Roman" w:hAnsi="Times New Roman"/>
          <w:color w:val="auto"/>
          <w:sz w:val="24"/>
          <w:szCs w:val="24"/>
          <w:highlight w:val="none"/>
        </w:rPr>
        <w:t>墙体</w:t>
      </w:r>
      <w:r>
        <w:rPr>
          <w:rFonts w:ascii="Times New Roman" w:hAnsi="Times New Roman"/>
          <w:color w:val="auto"/>
          <w:sz w:val="24"/>
          <w:szCs w:val="24"/>
          <w:highlight w:val="none"/>
        </w:rPr>
        <w:t>的</w:t>
      </w:r>
      <w:r>
        <w:rPr>
          <w:rFonts w:hint="eastAsia" w:ascii="Times New Roman" w:hAnsi="Times New Roman"/>
          <w:color w:val="auto"/>
          <w:sz w:val="24"/>
          <w:szCs w:val="24"/>
          <w:highlight w:val="none"/>
        </w:rPr>
        <w:t>平均</w:t>
      </w:r>
      <w:r>
        <w:rPr>
          <w:rFonts w:ascii="Times New Roman" w:hAnsi="Times New Roman"/>
          <w:color w:val="auto"/>
          <w:sz w:val="24"/>
          <w:szCs w:val="24"/>
          <w:highlight w:val="none"/>
        </w:rPr>
        <w:t>传热系数应满足</w:t>
      </w:r>
      <w:r>
        <w:rPr>
          <w:rFonts w:hint="eastAsia" w:ascii="Times New Roman" w:hAnsi="Times New Roman"/>
          <w:color w:val="auto"/>
          <w:sz w:val="24"/>
          <w:szCs w:val="24"/>
          <w:highlight w:val="none"/>
        </w:rPr>
        <w:t>国家、</w:t>
      </w:r>
      <w:r>
        <w:rPr>
          <w:rFonts w:ascii="Times New Roman" w:hAnsi="Times New Roman"/>
          <w:color w:val="auto"/>
          <w:sz w:val="24"/>
          <w:szCs w:val="24"/>
          <w:highlight w:val="none"/>
        </w:rPr>
        <w:t>重庆市现行建筑节能</w:t>
      </w:r>
      <w:r>
        <w:rPr>
          <w:rFonts w:hint="eastAsia" w:ascii="Times New Roman" w:hAnsi="Times New Roman"/>
          <w:color w:val="auto"/>
          <w:sz w:val="24"/>
          <w:szCs w:val="24"/>
          <w:highlight w:val="none"/>
        </w:rPr>
        <w:t>标准</w:t>
      </w:r>
      <w:r>
        <w:rPr>
          <w:rFonts w:ascii="Times New Roman" w:hAnsi="Times New Roman"/>
          <w:color w:val="auto"/>
          <w:sz w:val="24"/>
          <w:szCs w:val="24"/>
          <w:highlight w:val="none"/>
        </w:rPr>
        <w:t>对外墙的要求</w:t>
      </w:r>
      <w:r>
        <w:rPr>
          <w:rFonts w:hint="eastAsia" w:ascii="Times New Roman" w:hAnsi="Times New Roman"/>
          <w:color w:val="auto"/>
          <w:sz w:val="24"/>
          <w:szCs w:val="24"/>
          <w:highlight w:val="none"/>
        </w:rPr>
        <w:t>，内保温系统的保温材料最小厚度应不得低于3</w:t>
      </w:r>
      <w:r>
        <w:rPr>
          <w:rFonts w:ascii="Times New Roman" w:hAnsi="Times New Roman"/>
          <w:color w:val="auto"/>
          <w:sz w:val="24"/>
          <w:szCs w:val="24"/>
          <w:highlight w:val="none"/>
        </w:rPr>
        <w:t>0</w:t>
      </w:r>
      <w:r>
        <w:rPr>
          <w:rFonts w:hint="eastAsia" w:ascii="Times New Roman" w:hAnsi="Times New Roman"/>
          <w:color w:val="auto"/>
          <w:sz w:val="24"/>
          <w:szCs w:val="24"/>
          <w:highlight w:val="none"/>
        </w:rPr>
        <w:t>mm</w:t>
      </w:r>
      <w:r>
        <w:rPr>
          <w:rFonts w:ascii="Times New Roman" w:hAnsi="Times New Roman"/>
          <w:color w:val="auto"/>
          <w:sz w:val="24"/>
          <w:szCs w:val="24"/>
          <w:highlight w:val="none"/>
        </w:rPr>
        <w:t>。</w:t>
      </w:r>
    </w:p>
    <w:p>
      <w:pPr>
        <w:widowControl/>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2</w:t>
      </w:r>
      <w:r>
        <w:rPr>
          <w:rFonts w:hint="eastAsia" w:ascii="Times New Roman" w:hAnsi="Times New Roman"/>
          <w:color w:val="auto"/>
          <w:sz w:val="24"/>
          <w:szCs w:val="24"/>
          <w:highlight w:val="none"/>
        </w:rPr>
        <w:t>外墙隔热性能应满足现行国家标准《民用建筑热工设计规范》G</w:t>
      </w:r>
      <w:r>
        <w:rPr>
          <w:rFonts w:ascii="Times New Roman" w:hAnsi="Times New Roman"/>
          <w:color w:val="auto"/>
          <w:sz w:val="24"/>
          <w:szCs w:val="24"/>
          <w:highlight w:val="none"/>
        </w:rPr>
        <w:t>B 50176</w:t>
      </w:r>
      <w:r>
        <w:rPr>
          <w:rFonts w:hint="eastAsia" w:ascii="Times New Roman" w:hAnsi="Times New Roman"/>
          <w:color w:val="auto"/>
          <w:sz w:val="24"/>
          <w:szCs w:val="24"/>
          <w:highlight w:val="none"/>
        </w:rPr>
        <w:t>的要求。</w:t>
      </w:r>
    </w:p>
    <w:p>
      <w:pPr>
        <w:widowControl/>
        <w:spacing w:line="360" w:lineRule="auto"/>
        <w:ind w:firstLine="480" w:firstLineChars="200"/>
        <w:rPr>
          <w:rFonts w:hint="eastAsia" w:ascii="Times New Roman" w:hAnsi="Times New Roman" w:eastAsia="宋体"/>
          <w:color w:val="auto"/>
          <w:sz w:val="24"/>
          <w:szCs w:val="24"/>
          <w:highlight w:val="none"/>
          <w:lang w:eastAsia="zh-CN"/>
        </w:rPr>
      </w:pPr>
      <w:r>
        <w:rPr>
          <w:rFonts w:ascii="Times New Roman" w:hAnsi="Times New Roman"/>
          <w:color w:val="auto"/>
          <w:sz w:val="24"/>
          <w:szCs w:val="24"/>
          <w:highlight w:val="none"/>
        </w:rPr>
        <w:t>3</w:t>
      </w:r>
      <w:r>
        <w:rPr>
          <w:rFonts w:hint="eastAsia" w:ascii="Times New Roman" w:hAnsi="Times New Roman"/>
          <w:color w:val="auto"/>
          <w:sz w:val="24"/>
          <w:szCs w:val="24"/>
          <w:highlight w:val="none"/>
        </w:rPr>
        <w:t>外墙</w:t>
      </w:r>
      <w:r>
        <w:rPr>
          <w:rFonts w:ascii="Times New Roman" w:hAnsi="Times New Roman"/>
          <w:color w:val="auto"/>
          <w:sz w:val="24"/>
          <w:szCs w:val="24"/>
          <w:highlight w:val="none"/>
        </w:rPr>
        <w:t>热桥部位</w:t>
      </w:r>
      <w:r>
        <w:rPr>
          <w:rFonts w:hint="eastAsia" w:ascii="Times New Roman" w:hAnsi="Times New Roman"/>
          <w:color w:val="auto"/>
          <w:sz w:val="24"/>
          <w:szCs w:val="24"/>
          <w:highlight w:val="none"/>
        </w:rPr>
        <w:t>应进行露点温度计算</w:t>
      </w:r>
      <w:r>
        <w:rPr>
          <w:rFonts w:ascii="Times New Roman" w:hAnsi="Times New Roman"/>
          <w:color w:val="auto"/>
          <w:sz w:val="24"/>
          <w:szCs w:val="24"/>
          <w:highlight w:val="none"/>
        </w:rPr>
        <w:t>，</w:t>
      </w:r>
      <w:r>
        <w:rPr>
          <w:rFonts w:hint="eastAsia" w:ascii="Times New Roman" w:hAnsi="Times New Roman"/>
          <w:color w:val="auto"/>
          <w:sz w:val="24"/>
          <w:szCs w:val="24"/>
          <w:highlight w:val="none"/>
        </w:rPr>
        <w:t>当热桥部位的内表面温度低于室内空气在设计温度、湿度条件下露点温度时，外墙与隔墙、楼板交接处的热桥部位应采取辅助保温措施，设置附加保温层</w:t>
      </w:r>
      <w:r>
        <w:rPr>
          <w:rFonts w:hint="eastAsia" w:ascii="Times New Roman" w:hAnsi="Times New Roman"/>
          <w:color w:val="auto"/>
          <w:sz w:val="24"/>
          <w:szCs w:val="24"/>
          <w:highlight w:val="none"/>
          <w:lang w:eastAsia="zh-CN"/>
        </w:rPr>
        <w:t>。</w:t>
      </w:r>
    </w:p>
    <w:p>
      <w:pPr>
        <w:widowControl/>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4</w:t>
      </w:r>
      <w:r>
        <w:rPr>
          <w:rFonts w:hint="eastAsia" w:ascii="Times New Roman" w:hAnsi="Times New Roman"/>
          <w:color w:val="auto"/>
          <w:sz w:val="24"/>
          <w:szCs w:val="24"/>
          <w:highlight w:val="none"/>
        </w:rPr>
        <w:t>内保温系统墙体</w:t>
      </w:r>
      <w:r>
        <w:rPr>
          <w:rFonts w:ascii="Times New Roman" w:hAnsi="Times New Roman"/>
          <w:color w:val="auto"/>
          <w:sz w:val="24"/>
          <w:szCs w:val="24"/>
          <w:highlight w:val="none"/>
        </w:rPr>
        <w:t>内部应进行冷凝验算，必要时应设置隔汽层。</w:t>
      </w:r>
    </w:p>
    <w:p>
      <w:pPr>
        <w:widowControl/>
        <w:spacing w:line="360" w:lineRule="auto"/>
        <w:rPr>
          <w:rFonts w:ascii="楷体" w:hAnsi="楷体" w:eastAsia="楷体"/>
          <w:color w:val="auto"/>
          <w:sz w:val="24"/>
          <w:szCs w:val="24"/>
          <w:highlight w:val="none"/>
        </w:rPr>
      </w:pPr>
      <w:r>
        <w:rPr>
          <w:rFonts w:hint="eastAsia" w:ascii="楷体" w:hAnsi="楷体" w:eastAsia="楷体"/>
          <w:color w:val="auto"/>
          <w:sz w:val="24"/>
          <w:szCs w:val="24"/>
          <w:highlight w:val="none"/>
        </w:rPr>
        <w:t>【条文说明】</w:t>
      </w:r>
      <w:r>
        <w:rPr>
          <w:rFonts w:hint="eastAsia" w:ascii="楷体" w:hAnsi="楷体" w:eastAsia="楷体"/>
          <w:color w:val="auto"/>
          <w:sz w:val="24"/>
          <w:szCs w:val="24"/>
          <w:highlight w:val="none"/>
          <w:lang w:val="en-US" w:eastAsia="zh-CN"/>
        </w:rPr>
        <w:t xml:space="preserve">5.1.2  </w:t>
      </w:r>
      <w:r>
        <w:rPr>
          <w:rFonts w:hint="eastAsia" w:ascii="楷体" w:hAnsi="楷体" w:eastAsia="楷体"/>
          <w:color w:val="auto"/>
          <w:sz w:val="24"/>
          <w:szCs w:val="24"/>
          <w:highlight w:val="none"/>
        </w:rPr>
        <w:t>1外墙内保温</w:t>
      </w:r>
      <w:r>
        <w:rPr>
          <w:rFonts w:ascii="楷体" w:hAnsi="楷体" w:eastAsia="楷体"/>
          <w:color w:val="auto"/>
          <w:sz w:val="24"/>
          <w:szCs w:val="24"/>
          <w:highlight w:val="none"/>
        </w:rPr>
        <w:t>复合板系统</w:t>
      </w:r>
      <w:r>
        <w:rPr>
          <w:rFonts w:hint="eastAsia" w:ascii="楷体" w:hAnsi="楷体" w:eastAsia="楷体"/>
          <w:color w:val="auto"/>
          <w:sz w:val="24"/>
          <w:szCs w:val="24"/>
          <w:highlight w:val="none"/>
        </w:rPr>
        <w:t>墙体</w:t>
      </w:r>
      <w:r>
        <w:rPr>
          <w:rFonts w:ascii="楷体" w:hAnsi="楷体" w:eastAsia="楷体"/>
          <w:color w:val="auto"/>
          <w:sz w:val="24"/>
          <w:szCs w:val="24"/>
          <w:highlight w:val="none"/>
        </w:rPr>
        <w:t>的</w:t>
      </w:r>
      <w:r>
        <w:rPr>
          <w:rFonts w:hint="eastAsia" w:ascii="楷体" w:hAnsi="楷体" w:eastAsia="楷体"/>
          <w:color w:val="auto"/>
          <w:sz w:val="24"/>
          <w:szCs w:val="24"/>
          <w:highlight w:val="none"/>
        </w:rPr>
        <w:t>平均</w:t>
      </w:r>
      <w:r>
        <w:rPr>
          <w:rFonts w:ascii="楷体" w:hAnsi="楷体" w:eastAsia="楷体"/>
          <w:color w:val="auto"/>
          <w:sz w:val="24"/>
          <w:szCs w:val="24"/>
          <w:highlight w:val="none"/>
        </w:rPr>
        <w:t>传热系数应满足</w:t>
      </w:r>
      <w:r>
        <w:rPr>
          <w:rFonts w:hint="eastAsia" w:ascii="楷体" w:hAnsi="楷体" w:eastAsia="楷体"/>
          <w:color w:val="auto"/>
          <w:sz w:val="24"/>
          <w:szCs w:val="24"/>
          <w:highlight w:val="none"/>
        </w:rPr>
        <w:t>国家、</w:t>
      </w:r>
      <w:r>
        <w:rPr>
          <w:rFonts w:ascii="楷体" w:hAnsi="楷体" w:eastAsia="楷体"/>
          <w:color w:val="auto"/>
          <w:sz w:val="24"/>
          <w:szCs w:val="24"/>
          <w:highlight w:val="none"/>
        </w:rPr>
        <w:t>重庆市现行建筑节能</w:t>
      </w:r>
      <w:r>
        <w:rPr>
          <w:rFonts w:hint="eastAsia" w:ascii="楷体" w:hAnsi="楷体" w:eastAsia="楷体"/>
          <w:color w:val="auto"/>
          <w:sz w:val="24"/>
          <w:szCs w:val="24"/>
          <w:highlight w:val="none"/>
        </w:rPr>
        <w:t>标准</w:t>
      </w:r>
      <w:r>
        <w:rPr>
          <w:rFonts w:ascii="楷体" w:hAnsi="楷体" w:eastAsia="楷体"/>
          <w:color w:val="auto"/>
          <w:sz w:val="24"/>
          <w:szCs w:val="24"/>
          <w:highlight w:val="none"/>
        </w:rPr>
        <w:t>对外墙的要求。</w:t>
      </w:r>
      <w:r>
        <w:rPr>
          <w:rFonts w:hint="eastAsia" w:ascii="楷体" w:hAnsi="楷体" w:eastAsia="楷体"/>
          <w:color w:val="auto"/>
          <w:sz w:val="24"/>
          <w:szCs w:val="24"/>
          <w:highlight w:val="none"/>
        </w:rPr>
        <w:t>对内保温复合板保温材料最小厚度提出要求，其目的为保证复合板的整体稳定性及强度。</w:t>
      </w:r>
    </w:p>
    <w:p>
      <w:pPr>
        <w:widowControl/>
        <w:spacing w:line="360" w:lineRule="auto"/>
        <w:ind w:firstLine="480" w:firstLineChars="200"/>
        <w:rPr>
          <w:rFonts w:ascii="楷体" w:hAnsi="楷体" w:eastAsia="楷体"/>
          <w:color w:val="auto"/>
          <w:sz w:val="24"/>
          <w:szCs w:val="24"/>
          <w:highlight w:val="none"/>
        </w:rPr>
      </w:pPr>
      <w:r>
        <w:rPr>
          <w:rFonts w:ascii="楷体" w:hAnsi="楷体" w:eastAsia="楷体"/>
          <w:color w:val="auto"/>
          <w:sz w:val="24"/>
          <w:szCs w:val="24"/>
          <w:highlight w:val="none"/>
        </w:rPr>
        <w:t>2</w:t>
      </w:r>
      <w:r>
        <w:rPr>
          <w:rFonts w:hint="eastAsia" w:ascii="楷体" w:hAnsi="楷体" w:eastAsia="楷体"/>
          <w:color w:val="auto"/>
          <w:sz w:val="24"/>
          <w:szCs w:val="24"/>
          <w:highlight w:val="none"/>
        </w:rPr>
        <w:t>夏热冬冷地区外墙的隔热性能对于建筑在夏季时室内热环境舒适度的改善，以及空调负荷的降低具有重要意义，内保温工程的隔热性能较外保温工程而言更为重要，国家现行规范《民用建筑热工设计规范》GB</w:t>
      </w:r>
      <w:r>
        <w:rPr>
          <w:rFonts w:hint="eastAsia" w:ascii="楷体" w:hAnsi="楷体" w:eastAsia="楷体"/>
          <w:color w:val="auto"/>
          <w:sz w:val="24"/>
          <w:szCs w:val="24"/>
          <w:highlight w:val="none"/>
          <w:lang w:val="en-US" w:eastAsia="zh-CN"/>
        </w:rPr>
        <w:t xml:space="preserve"> </w:t>
      </w:r>
      <w:r>
        <w:rPr>
          <w:rFonts w:hint="eastAsia" w:ascii="楷体" w:hAnsi="楷体" w:eastAsia="楷体"/>
          <w:color w:val="auto"/>
          <w:sz w:val="24"/>
          <w:szCs w:val="24"/>
          <w:highlight w:val="none"/>
        </w:rPr>
        <w:t>50176-2016第</w:t>
      </w:r>
      <w:r>
        <w:rPr>
          <w:rFonts w:ascii="楷体" w:hAnsi="楷体" w:eastAsia="楷体"/>
          <w:color w:val="auto"/>
          <w:sz w:val="24"/>
          <w:szCs w:val="24"/>
          <w:highlight w:val="none"/>
        </w:rPr>
        <w:t>4.3.2</w:t>
      </w:r>
      <w:r>
        <w:rPr>
          <w:rFonts w:hint="eastAsia" w:ascii="楷体" w:hAnsi="楷体" w:eastAsia="楷体"/>
          <w:color w:val="auto"/>
          <w:sz w:val="24"/>
          <w:szCs w:val="24"/>
          <w:highlight w:val="none"/>
        </w:rPr>
        <w:t>条规定“夏热冬暖和夏热冬冷地区建筑设计必须满足夏季防热要求”，在给定外墙两侧空气温度及变化规律的情况下，外墙内表面最高温度应符合《民用建筑热工设计规范》GB</w:t>
      </w:r>
      <w:r>
        <w:rPr>
          <w:rFonts w:hint="eastAsia" w:ascii="楷体" w:hAnsi="楷体" w:eastAsia="楷体"/>
          <w:color w:val="auto"/>
          <w:sz w:val="24"/>
          <w:szCs w:val="24"/>
          <w:highlight w:val="none"/>
          <w:lang w:val="en-US" w:eastAsia="zh-CN"/>
        </w:rPr>
        <w:t xml:space="preserve"> </w:t>
      </w:r>
      <w:r>
        <w:rPr>
          <w:rFonts w:hint="eastAsia" w:ascii="楷体" w:hAnsi="楷体" w:eastAsia="楷体"/>
          <w:color w:val="auto"/>
          <w:sz w:val="24"/>
          <w:szCs w:val="24"/>
          <w:highlight w:val="none"/>
        </w:rPr>
        <w:t>50176-2016的规定。本条要求内保温工程需进行外墙内表面最高温度计算，并确定热桥是否采取隔热加强措施。</w:t>
      </w:r>
    </w:p>
    <w:p>
      <w:pPr>
        <w:widowControl/>
        <w:spacing w:line="360" w:lineRule="auto"/>
        <w:ind w:firstLine="480" w:firstLineChars="200"/>
        <w:rPr>
          <w:rFonts w:ascii="楷体" w:hAnsi="楷体" w:eastAsia="楷体"/>
          <w:color w:val="auto"/>
          <w:sz w:val="24"/>
          <w:szCs w:val="24"/>
          <w:highlight w:val="none"/>
        </w:rPr>
      </w:pPr>
      <w:r>
        <w:rPr>
          <w:rFonts w:ascii="楷体" w:hAnsi="楷体" w:eastAsia="楷体"/>
          <w:color w:val="auto"/>
          <w:sz w:val="24"/>
          <w:szCs w:val="24"/>
          <w:highlight w:val="none"/>
        </w:rPr>
        <w:t>3.</w:t>
      </w:r>
      <w:r>
        <w:rPr>
          <w:rFonts w:hint="eastAsia" w:ascii="楷体" w:hAnsi="楷体" w:eastAsia="楷体"/>
          <w:color w:val="auto"/>
          <w:sz w:val="24"/>
          <w:szCs w:val="24"/>
          <w:highlight w:val="none"/>
        </w:rPr>
        <w:t>国家现行规范《民用建筑热工设计规范》GB</w:t>
      </w:r>
      <w:r>
        <w:rPr>
          <w:rFonts w:hint="eastAsia" w:ascii="楷体" w:hAnsi="楷体" w:eastAsia="楷体"/>
          <w:color w:val="auto"/>
          <w:sz w:val="24"/>
          <w:szCs w:val="24"/>
          <w:highlight w:val="none"/>
          <w:lang w:val="en-US" w:eastAsia="zh-CN"/>
        </w:rPr>
        <w:t xml:space="preserve"> </w:t>
      </w:r>
      <w:r>
        <w:rPr>
          <w:rFonts w:hint="eastAsia" w:ascii="楷体" w:hAnsi="楷体" w:eastAsia="楷体"/>
          <w:color w:val="auto"/>
          <w:sz w:val="24"/>
          <w:szCs w:val="24"/>
          <w:highlight w:val="none"/>
        </w:rPr>
        <w:t>50176-2016第7.2.3条规定“当围护结构内表面温度低于空气露点温度时,应采取保温措施,并应复核围护结构内表面温度”。在围护结构自身热阻作用下，当冬季室外计算温度t低于0.9C时，围护结构内表面温度才有可能低于室内空气露点温度，产生表面结露，因此为了简化外墙内保温设计和结露计算，需根据建筑的工况和所处位置，验算热桥结露现象出现与否，从而确定热桥是否需要采取保温加强措施，</w:t>
      </w:r>
      <w:r>
        <w:rPr>
          <w:rFonts w:ascii="楷体" w:hAnsi="楷体" w:eastAsia="楷体"/>
          <w:color w:val="auto"/>
          <w:sz w:val="24"/>
          <w:szCs w:val="24"/>
          <w:highlight w:val="none"/>
        </w:rPr>
        <w:t>故</w:t>
      </w:r>
      <w:r>
        <w:rPr>
          <w:rFonts w:hint="eastAsia" w:ascii="楷体" w:hAnsi="楷体" w:eastAsia="楷体"/>
          <w:color w:val="auto"/>
          <w:sz w:val="24"/>
          <w:szCs w:val="24"/>
          <w:highlight w:val="none"/>
        </w:rPr>
        <w:t>采用复合板内保温系统必须依据现行</w:t>
      </w:r>
      <w:r>
        <w:rPr>
          <w:rFonts w:ascii="楷体" w:hAnsi="楷体" w:eastAsia="楷体"/>
          <w:color w:val="auto"/>
          <w:sz w:val="24"/>
          <w:szCs w:val="24"/>
          <w:highlight w:val="none"/>
        </w:rPr>
        <w:t>的</w:t>
      </w:r>
      <w:r>
        <w:rPr>
          <w:rFonts w:hint="eastAsia" w:ascii="楷体" w:hAnsi="楷体" w:eastAsia="楷体"/>
          <w:color w:val="auto"/>
          <w:sz w:val="24"/>
          <w:szCs w:val="24"/>
          <w:highlight w:val="none"/>
        </w:rPr>
        <w:t>《民用建筑热工设计规范》GB</w:t>
      </w:r>
      <w:r>
        <w:rPr>
          <w:rFonts w:hint="eastAsia" w:ascii="楷体" w:hAnsi="楷体" w:eastAsia="楷体"/>
          <w:color w:val="auto"/>
          <w:sz w:val="24"/>
          <w:szCs w:val="24"/>
          <w:highlight w:val="none"/>
          <w:lang w:val="en-US" w:eastAsia="zh-CN"/>
        </w:rPr>
        <w:t xml:space="preserve"> </w:t>
      </w:r>
      <w:r>
        <w:rPr>
          <w:rFonts w:hint="eastAsia" w:ascii="楷体" w:hAnsi="楷体" w:eastAsia="楷体"/>
          <w:color w:val="auto"/>
          <w:sz w:val="24"/>
          <w:szCs w:val="24"/>
          <w:highlight w:val="none"/>
        </w:rPr>
        <w:t>50176进行露点温度计算。</w:t>
      </w:r>
    </w:p>
    <w:p>
      <w:pPr>
        <w:widowControl/>
        <w:spacing w:line="360" w:lineRule="auto"/>
        <w:ind w:firstLine="480" w:firstLineChars="200"/>
        <w:rPr>
          <w:rFonts w:asciiTheme="majorEastAsia" w:hAnsiTheme="majorEastAsia" w:eastAsiaTheme="majorEastAsia"/>
          <w:color w:val="auto"/>
          <w:sz w:val="24"/>
          <w:szCs w:val="24"/>
          <w:highlight w:val="none"/>
        </w:rPr>
      </w:pPr>
      <w:r>
        <w:rPr>
          <w:rFonts w:ascii="楷体" w:hAnsi="楷体" w:eastAsia="楷体"/>
          <w:color w:val="auto"/>
          <w:sz w:val="24"/>
          <w:szCs w:val="24"/>
          <w:highlight w:val="none"/>
        </w:rPr>
        <w:t>4</w:t>
      </w:r>
      <w:r>
        <w:rPr>
          <w:rFonts w:hint="eastAsia" w:ascii="楷体" w:hAnsi="楷体" w:eastAsia="楷体"/>
          <w:color w:val="auto"/>
          <w:sz w:val="24"/>
          <w:szCs w:val="24"/>
          <w:highlight w:val="none"/>
        </w:rPr>
        <w:t>内保温</w:t>
      </w:r>
      <w:r>
        <w:rPr>
          <w:rFonts w:ascii="楷体" w:hAnsi="楷体" w:eastAsia="楷体"/>
          <w:color w:val="auto"/>
          <w:sz w:val="24"/>
          <w:szCs w:val="24"/>
          <w:highlight w:val="none"/>
        </w:rPr>
        <w:t>复合板</w:t>
      </w:r>
      <w:r>
        <w:rPr>
          <w:rFonts w:hint="eastAsia" w:ascii="楷体" w:hAnsi="楷体" w:eastAsia="楷体"/>
          <w:color w:val="auto"/>
          <w:sz w:val="24"/>
          <w:szCs w:val="24"/>
          <w:highlight w:val="none"/>
        </w:rPr>
        <w:t>系统的墙体</w:t>
      </w:r>
      <w:r>
        <w:rPr>
          <w:rFonts w:ascii="楷体" w:hAnsi="楷体" w:eastAsia="楷体"/>
          <w:color w:val="auto"/>
          <w:sz w:val="24"/>
          <w:szCs w:val="24"/>
          <w:highlight w:val="none"/>
        </w:rPr>
        <w:t>内部冷凝验算结果符合《</w:t>
      </w:r>
      <w:r>
        <w:rPr>
          <w:rFonts w:hint="eastAsia" w:ascii="楷体" w:hAnsi="楷体" w:eastAsia="楷体"/>
          <w:color w:val="auto"/>
          <w:sz w:val="24"/>
          <w:szCs w:val="24"/>
          <w:highlight w:val="none"/>
        </w:rPr>
        <w:t>民用</w:t>
      </w:r>
      <w:r>
        <w:rPr>
          <w:rFonts w:ascii="楷体" w:hAnsi="楷体" w:eastAsia="楷体"/>
          <w:color w:val="auto"/>
          <w:sz w:val="24"/>
          <w:szCs w:val="24"/>
          <w:highlight w:val="none"/>
        </w:rPr>
        <w:t>建筑热工设计规范》</w:t>
      </w:r>
      <w:r>
        <w:rPr>
          <w:rFonts w:hint="eastAsia" w:ascii="楷体" w:hAnsi="楷体" w:eastAsia="楷体"/>
          <w:color w:val="auto"/>
          <w:sz w:val="24"/>
          <w:szCs w:val="24"/>
          <w:highlight w:val="none"/>
        </w:rPr>
        <w:t>GB</w:t>
      </w:r>
      <w:r>
        <w:rPr>
          <w:rFonts w:hint="eastAsia" w:ascii="楷体" w:hAnsi="楷体" w:eastAsia="楷体"/>
          <w:color w:val="auto"/>
          <w:sz w:val="24"/>
          <w:szCs w:val="24"/>
          <w:highlight w:val="none"/>
          <w:lang w:val="en-US" w:eastAsia="zh-CN"/>
        </w:rPr>
        <w:t xml:space="preserve"> </w:t>
      </w:r>
      <w:r>
        <w:rPr>
          <w:rFonts w:hint="eastAsia" w:ascii="楷体" w:hAnsi="楷体" w:eastAsia="楷体"/>
          <w:color w:val="auto"/>
          <w:sz w:val="24"/>
          <w:szCs w:val="24"/>
          <w:highlight w:val="none"/>
        </w:rPr>
        <w:t>50176的</w:t>
      </w:r>
      <w:r>
        <w:rPr>
          <w:rFonts w:ascii="楷体" w:hAnsi="楷体" w:eastAsia="楷体"/>
          <w:color w:val="auto"/>
          <w:sz w:val="24"/>
          <w:szCs w:val="24"/>
          <w:highlight w:val="none"/>
        </w:rPr>
        <w:t>规定时，不</w:t>
      </w:r>
      <w:r>
        <w:rPr>
          <w:rFonts w:hint="eastAsia" w:ascii="楷体" w:hAnsi="楷体" w:eastAsia="楷体"/>
          <w:color w:val="auto"/>
          <w:sz w:val="24"/>
          <w:szCs w:val="24"/>
          <w:highlight w:val="none"/>
        </w:rPr>
        <w:t>需要</w:t>
      </w:r>
      <w:r>
        <w:rPr>
          <w:rFonts w:ascii="楷体" w:hAnsi="楷体" w:eastAsia="楷体"/>
          <w:color w:val="auto"/>
          <w:sz w:val="24"/>
          <w:szCs w:val="24"/>
          <w:highlight w:val="none"/>
        </w:rPr>
        <w:t>设置</w:t>
      </w:r>
      <w:r>
        <w:rPr>
          <w:rFonts w:hint="eastAsia" w:ascii="楷体" w:hAnsi="楷体" w:eastAsia="楷体"/>
          <w:color w:val="auto"/>
          <w:sz w:val="24"/>
          <w:szCs w:val="24"/>
          <w:highlight w:val="none"/>
        </w:rPr>
        <w:t>隔汽层</w:t>
      </w:r>
      <w:r>
        <w:rPr>
          <w:rFonts w:ascii="楷体" w:hAnsi="楷体" w:eastAsia="楷体"/>
          <w:color w:val="auto"/>
          <w:sz w:val="24"/>
          <w:szCs w:val="24"/>
          <w:highlight w:val="none"/>
        </w:rPr>
        <w:t>，否则应设置隔汽层，且包含隔汽层构造的内保温复合墙体内部冷凝验算结果应符合《</w:t>
      </w:r>
      <w:r>
        <w:rPr>
          <w:rFonts w:hint="eastAsia" w:ascii="楷体" w:hAnsi="楷体" w:eastAsia="楷体"/>
          <w:color w:val="auto"/>
          <w:sz w:val="24"/>
          <w:szCs w:val="24"/>
          <w:highlight w:val="none"/>
        </w:rPr>
        <w:t>民用</w:t>
      </w:r>
      <w:r>
        <w:rPr>
          <w:rFonts w:ascii="楷体" w:hAnsi="楷体" w:eastAsia="楷体"/>
          <w:color w:val="auto"/>
          <w:sz w:val="24"/>
          <w:szCs w:val="24"/>
          <w:highlight w:val="none"/>
        </w:rPr>
        <w:t>建筑热工设计规范》</w:t>
      </w:r>
      <w:r>
        <w:rPr>
          <w:rFonts w:hint="eastAsia" w:ascii="楷体" w:hAnsi="楷体" w:eastAsia="楷体"/>
          <w:color w:val="auto"/>
          <w:sz w:val="24"/>
          <w:szCs w:val="24"/>
          <w:highlight w:val="none"/>
        </w:rPr>
        <w:t>GB</w:t>
      </w:r>
      <w:r>
        <w:rPr>
          <w:rFonts w:hint="eastAsia" w:ascii="楷体" w:hAnsi="楷体" w:eastAsia="楷体"/>
          <w:color w:val="auto"/>
          <w:sz w:val="24"/>
          <w:szCs w:val="24"/>
          <w:highlight w:val="none"/>
          <w:lang w:val="en-US" w:eastAsia="zh-CN"/>
        </w:rPr>
        <w:t xml:space="preserve"> </w:t>
      </w:r>
      <w:r>
        <w:rPr>
          <w:rFonts w:hint="eastAsia" w:ascii="楷体" w:hAnsi="楷体" w:eastAsia="楷体"/>
          <w:color w:val="auto"/>
          <w:sz w:val="24"/>
          <w:szCs w:val="24"/>
          <w:highlight w:val="none"/>
        </w:rPr>
        <w:t>50176的</w:t>
      </w:r>
      <w:r>
        <w:rPr>
          <w:rFonts w:ascii="楷体" w:hAnsi="楷体" w:eastAsia="楷体"/>
          <w:color w:val="auto"/>
          <w:sz w:val="24"/>
          <w:szCs w:val="24"/>
          <w:highlight w:val="none"/>
        </w:rPr>
        <w:t>规定。</w:t>
      </w:r>
      <w:bookmarkStart w:id="189" w:name="_Toc16749"/>
    </w:p>
    <w:p>
      <w:pPr>
        <w:spacing w:line="360" w:lineRule="auto"/>
        <w:outlineLvl w:val="2"/>
        <w:rPr>
          <w:rFonts w:asciiTheme="majorEastAsia" w:hAnsiTheme="majorEastAsia" w:eastAsiaTheme="majorEastAsia"/>
          <w:color w:val="auto"/>
          <w:sz w:val="24"/>
          <w:szCs w:val="24"/>
          <w:highlight w:val="none"/>
        </w:rPr>
      </w:pPr>
      <w:r>
        <w:rPr>
          <w:rFonts w:asciiTheme="majorEastAsia" w:hAnsiTheme="majorEastAsia" w:eastAsiaTheme="majorEastAsia"/>
          <w:color w:val="auto"/>
          <w:sz w:val="24"/>
          <w:szCs w:val="24"/>
          <w:highlight w:val="none"/>
        </w:rPr>
        <w:t>5.1.</w:t>
      </w:r>
      <w:r>
        <w:rPr>
          <w:rFonts w:hint="eastAsia" w:asciiTheme="majorEastAsia" w:hAnsiTheme="majorEastAsia" w:eastAsiaTheme="majorEastAsia"/>
          <w:color w:val="auto"/>
          <w:sz w:val="24"/>
          <w:szCs w:val="24"/>
          <w:highlight w:val="none"/>
        </w:rPr>
        <w:t>3</w:t>
      </w:r>
      <w:r>
        <w:rPr>
          <w:rFonts w:asciiTheme="majorEastAsia" w:hAnsiTheme="majorEastAsia" w:eastAsiaTheme="majorEastAsia"/>
          <w:color w:val="auto"/>
          <w:sz w:val="24"/>
          <w:szCs w:val="24"/>
          <w:highlight w:val="none"/>
        </w:rPr>
        <w:t xml:space="preserve"> </w:t>
      </w:r>
      <w:r>
        <w:rPr>
          <w:rFonts w:hint="eastAsia" w:asciiTheme="majorEastAsia" w:hAnsiTheme="majorEastAsia" w:eastAsiaTheme="majorEastAsia"/>
          <w:color w:val="auto"/>
          <w:sz w:val="24"/>
          <w:szCs w:val="24"/>
          <w:highlight w:val="none"/>
        </w:rPr>
        <w:t>内保温复合板工程</w:t>
      </w:r>
      <w:r>
        <w:rPr>
          <w:rFonts w:asciiTheme="majorEastAsia" w:hAnsiTheme="majorEastAsia" w:eastAsiaTheme="majorEastAsia"/>
          <w:color w:val="auto"/>
          <w:sz w:val="24"/>
          <w:szCs w:val="24"/>
          <w:highlight w:val="none"/>
        </w:rPr>
        <w:t>宜在墙体易裂部位及与屋面板、楼板交接部位采取抗裂构造措施</w:t>
      </w:r>
      <w:r>
        <w:rPr>
          <w:rFonts w:hint="eastAsia" w:asciiTheme="majorEastAsia" w:hAnsiTheme="majorEastAsia" w:eastAsiaTheme="majorEastAsia"/>
          <w:color w:val="auto"/>
          <w:sz w:val="24"/>
          <w:szCs w:val="24"/>
          <w:highlight w:val="none"/>
        </w:rPr>
        <w:t>。</w:t>
      </w:r>
      <w:bookmarkEnd w:id="189"/>
    </w:p>
    <w:p>
      <w:pPr>
        <w:widowControl/>
        <w:spacing w:line="360" w:lineRule="auto"/>
        <w:ind w:firstLine="420"/>
        <w:rPr>
          <w:rFonts w:ascii="Times New Roman" w:hAnsi="Times New Roman"/>
          <w:color w:val="auto"/>
          <w:sz w:val="24"/>
          <w:szCs w:val="24"/>
          <w:highlight w:val="none"/>
        </w:rPr>
      </w:pPr>
      <w:r>
        <w:rPr>
          <w:rFonts w:hint="eastAsia" w:ascii="Times New Roman" w:hAnsi="Times New Roman"/>
          <w:color w:val="auto"/>
          <w:sz w:val="24"/>
          <w:szCs w:val="24"/>
          <w:highlight w:val="none"/>
        </w:rPr>
        <w:t>1对现浇混凝土等不能设置分隔缝的构件，应放置在墙体之内用砌体覆盖或设置高效保温材料的保温层,预防温度变形过大，导致墙体开裂。</w:t>
      </w:r>
    </w:p>
    <w:p>
      <w:pPr>
        <w:widowControl/>
        <w:spacing w:line="360" w:lineRule="auto"/>
        <w:ind w:firstLine="420"/>
        <w:rPr>
          <w:rFonts w:ascii="Times New Roman" w:hAnsi="Times New Roman"/>
          <w:color w:val="auto"/>
          <w:sz w:val="24"/>
          <w:szCs w:val="24"/>
          <w:highlight w:val="none"/>
        </w:rPr>
      </w:pPr>
      <w:r>
        <w:rPr>
          <w:rFonts w:hint="eastAsia" w:ascii="Times New Roman" w:hAnsi="Times New Roman"/>
          <w:color w:val="auto"/>
          <w:sz w:val="24"/>
          <w:szCs w:val="24"/>
          <w:highlight w:val="none"/>
        </w:rPr>
        <w:t>2外露的屋面挑檐、梁板内外廊和女儿墙压顶等现浇混凝土构件，未设置保温层时，应采取每隔12m～20m设置分隔缝的做法，减少温度作用效应，预防墙体开裂。</w:t>
      </w:r>
    </w:p>
    <w:p>
      <w:pPr>
        <w:widowControl/>
        <w:spacing w:line="360" w:lineRule="auto"/>
        <w:ind w:firstLine="420"/>
        <w:rPr>
          <w:rFonts w:asciiTheme="majorEastAsia" w:hAnsiTheme="majorEastAsia" w:eastAsiaTheme="majorEastAsia"/>
          <w:color w:val="auto"/>
          <w:sz w:val="24"/>
          <w:szCs w:val="24"/>
          <w:highlight w:val="none"/>
        </w:rPr>
      </w:pPr>
      <w:r>
        <w:rPr>
          <w:rFonts w:ascii="Times New Roman" w:hAnsi="Times New Roman"/>
          <w:color w:val="auto"/>
          <w:sz w:val="24"/>
          <w:szCs w:val="24"/>
          <w:highlight w:val="none"/>
        </w:rPr>
        <w:t>3</w:t>
      </w:r>
      <w:r>
        <w:rPr>
          <w:rFonts w:hint="eastAsia" w:ascii="Times New Roman" w:hAnsi="Times New Roman"/>
          <w:color w:val="auto"/>
          <w:sz w:val="24"/>
          <w:szCs w:val="24"/>
          <w:highlight w:val="none"/>
        </w:rPr>
        <w:t xml:space="preserve"> 楼板与外墙、外墙与内墙交接的阴阳角处应粘贴一层 300mm宽玻纤网格布，且阴阳角的两侧应各为150mm。</w:t>
      </w:r>
      <w:bookmarkStart w:id="190" w:name="_Toc15697"/>
    </w:p>
    <w:p>
      <w:pPr>
        <w:spacing w:line="360" w:lineRule="auto"/>
        <w:outlineLvl w:val="2"/>
        <w:rPr>
          <w:rFonts w:asciiTheme="majorEastAsia" w:hAnsiTheme="majorEastAsia" w:eastAsiaTheme="majorEastAsia"/>
          <w:color w:val="auto"/>
          <w:sz w:val="24"/>
          <w:szCs w:val="24"/>
          <w:highlight w:val="none"/>
        </w:rPr>
      </w:pPr>
      <w:r>
        <w:rPr>
          <w:rFonts w:hint="eastAsia" w:asciiTheme="majorEastAsia" w:hAnsiTheme="majorEastAsia" w:eastAsiaTheme="majorEastAsia"/>
          <w:color w:val="auto"/>
          <w:sz w:val="24"/>
          <w:szCs w:val="24"/>
          <w:highlight w:val="none"/>
        </w:rPr>
        <w:t>5</w:t>
      </w:r>
      <w:r>
        <w:rPr>
          <w:rFonts w:asciiTheme="majorEastAsia" w:hAnsiTheme="majorEastAsia" w:eastAsiaTheme="majorEastAsia"/>
          <w:color w:val="auto"/>
          <w:sz w:val="24"/>
          <w:szCs w:val="24"/>
          <w:highlight w:val="none"/>
        </w:rPr>
        <w:t>.1.</w:t>
      </w:r>
      <w:r>
        <w:rPr>
          <w:rFonts w:hint="eastAsia" w:asciiTheme="majorEastAsia" w:hAnsiTheme="majorEastAsia" w:eastAsiaTheme="majorEastAsia"/>
          <w:color w:val="auto"/>
          <w:sz w:val="24"/>
          <w:szCs w:val="24"/>
          <w:highlight w:val="none"/>
        </w:rPr>
        <w:t>4</w:t>
      </w:r>
      <w:r>
        <w:rPr>
          <w:rFonts w:asciiTheme="majorEastAsia" w:hAnsiTheme="majorEastAsia" w:eastAsiaTheme="majorEastAsia"/>
          <w:color w:val="auto"/>
          <w:sz w:val="24"/>
          <w:szCs w:val="24"/>
          <w:highlight w:val="none"/>
        </w:rPr>
        <w:t xml:space="preserve"> </w:t>
      </w:r>
      <w:r>
        <w:rPr>
          <w:rFonts w:hint="eastAsia" w:asciiTheme="majorEastAsia" w:hAnsiTheme="majorEastAsia" w:eastAsiaTheme="majorEastAsia"/>
          <w:color w:val="auto"/>
          <w:sz w:val="24"/>
          <w:szCs w:val="24"/>
          <w:highlight w:val="none"/>
        </w:rPr>
        <w:t>厨房、卫生间外墙内保温构造应符合下列规定：</w:t>
      </w:r>
      <w:bookmarkEnd w:id="190"/>
    </w:p>
    <w:p>
      <w:pPr>
        <w:widowControl/>
        <w:spacing w:line="360" w:lineRule="auto"/>
        <w:ind w:firstLine="360"/>
        <w:rPr>
          <w:rFonts w:ascii="Times New Roman" w:hAnsi="Times New Roman"/>
          <w:color w:val="auto"/>
          <w:sz w:val="24"/>
          <w:szCs w:val="24"/>
          <w:highlight w:val="none"/>
        </w:rPr>
      </w:pPr>
      <w:r>
        <w:rPr>
          <w:rFonts w:hint="eastAsia" w:ascii="Times New Roman" w:hAnsi="Times New Roman"/>
          <w:color w:val="auto"/>
          <w:sz w:val="24"/>
          <w:szCs w:val="24"/>
          <w:highlight w:val="none"/>
          <w:lang w:val="en-US" w:eastAsia="zh-CN"/>
        </w:rPr>
        <w:t>1</w:t>
      </w:r>
      <w:r>
        <w:rPr>
          <w:rFonts w:hint="eastAsia" w:ascii="Times New Roman" w:hAnsi="Times New Roman"/>
          <w:color w:val="auto"/>
          <w:sz w:val="24"/>
          <w:szCs w:val="24"/>
          <w:highlight w:val="none"/>
        </w:rPr>
        <w:t>厨房严禁使用普通的纸面石膏板，应使用耐水纸面石膏板、无石棉纤维水泥板或无石棉硅酸钙板，厨房墙体的防水构造应设置在内保温系统的外侧，以保证复合板的整体防水效果。</w:t>
      </w:r>
    </w:p>
    <w:p>
      <w:pPr>
        <w:widowControl/>
        <w:spacing w:line="360" w:lineRule="auto"/>
        <w:ind w:firstLine="360" w:firstLineChars="150"/>
        <w:rPr>
          <w:rFonts w:ascii="Times New Roman" w:hAnsi="Times New Roman"/>
          <w:color w:val="auto"/>
          <w:sz w:val="24"/>
          <w:szCs w:val="24"/>
          <w:highlight w:val="none"/>
        </w:rPr>
      </w:pPr>
      <w:r>
        <w:rPr>
          <w:rFonts w:hint="eastAsia" w:ascii="Times New Roman" w:hAnsi="Times New Roman"/>
          <w:color w:val="auto"/>
          <w:sz w:val="24"/>
          <w:szCs w:val="24"/>
          <w:highlight w:val="none"/>
          <w:lang w:val="en-US" w:eastAsia="zh-CN"/>
        </w:rPr>
        <w:t>2</w:t>
      </w:r>
      <w:r>
        <w:rPr>
          <w:rFonts w:hint="eastAsia" w:ascii="Times New Roman" w:hAnsi="Times New Roman"/>
          <w:color w:val="auto"/>
          <w:sz w:val="24"/>
          <w:szCs w:val="24"/>
          <w:highlight w:val="none"/>
        </w:rPr>
        <w:t>卫生间、淋浴间等涉水房间外墙内保温应采用防水防潮</w:t>
      </w:r>
      <w:r>
        <w:rPr>
          <w:rFonts w:ascii="Times New Roman" w:hAnsi="Times New Roman"/>
          <w:color w:val="auto"/>
          <w:sz w:val="24"/>
          <w:szCs w:val="24"/>
          <w:highlight w:val="none"/>
        </w:rPr>
        <w:t>的内保温系统</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宜采用节能型轻质抹灰砂浆保温，防止复合板通过锚栓锚固时破坏防水层。采用内保温复合板系统时，应在内保温复合板系统完成后再进行防水施工，且不得使用锚栓固定保温板，节点构造见图5</w:t>
      </w:r>
      <w:r>
        <w:rPr>
          <w:rFonts w:ascii="Times New Roman" w:hAnsi="Times New Roman"/>
          <w:color w:val="auto"/>
          <w:sz w:val="24"/>
          <w:szCs w:val="24"/>
          <w:highlight w:val="none"/>
        </w:rPr>
        <w:t>.1.</w:t>
      </w:r>
      <w:r>
        <w:rPr>
          <w:rFonts w:hint="eastAsia" w:ascii="Times New Roman" w:hAnsi="Times New Roman"/>
          <w:color w:val="auto"/>
          <w:sz w:val="24"/>
          <w:szCs w:val="24"/>
          <w:highlight w:val="none"/>
          <w:lang w:val="en-US" w:eastAsia="zh-CN"/>
        </w:rPr>
        <w:t>4</w:t>
      </w:r>
      <w:r>
        <w:rPr>
          <w:rFonts w:hint="eastAsia" w:ascii="Times New Roman" w:hAnsi="Times New Roman"/>
          <w:color w:val="auto"/>
          <w:sz w:val="24"/>
          <w:szCs w:val="24"/>
          <w:highlight w:val="none"/>
        </w:rPr>
        <w:t>。</w:t>
      </w:r>
    </w:p>
    <w:p>
      <w:pPr>
        <w:pStyle w:val="2"/>
        <w:rPr>
          <w:color w:val="auto"/>
          <w:highlight w:val="none"/>
        </w:rPr>
      </w:pPr>
    </w:p>
    <w:p>
      <w:pPr>
        <w:widowControl/>
        <w:spacing w:line="360" w:lineRule="auto"/>
        <w:ind w:firstLine="315" w:firstLineChars="150"/>
        <w:jc w:val="center"/>
        <w:rPr>
          <w:color w:val="auto"/>
          <w:highlight w:val="none"/>
        </w:rPr>
      </w:pPr>
    </w:p>
    <w:p>
      <w:pPr>
        <w:widowControl/>
        <w:spacing w:line="360" w:lineRule="auto"/>
        <w:ind w:firstLine="315" w:firstLineChars="150"/>
        <w:jc w:val="center"/>
        <w:rPr>
          <w:rFonts w:ascii="Times New Roman" w:hAnsi="Times New Roman"/>
          <w:color w:val="auto"/>
          <w:sz w:val="24"/>
          <w:szCs w:val="24"/>
          <w:highlight w:val="none"/>
        </w:rPr>
      </w:pPr>
      <w:r>
        <w:rPr>
          <w:color w:val="auto"/>
          <w:highlight w:val="none"/>
        </w:rPr>
        <w:drawing>
          <wp:inline distT="0" distB="0" distL="0" distR="0">
            <wp:extent cx="5513705" cy="46361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rcRect r="12337" b="7477"/>
                    <a:stretch>
                      <a:fillRect/>
                    </a:stretch>
                  </pic:blipFill>
                  <pic:spPr>
                    <a:xfrm>
                      <a:off x="0" y="0"/>
                      <a:ext cx="5513705" cy="4636135"/>
                    </a:xfrm>
                    <a:prstGeom prst="rect">
                      <a:avLst/>
                    </a:prstGeom>
                  </pic:spPr>
                </pic:pic>
              </a:graphicData>
            </a:graphic>
          </wp:inline>
        </w:drawing>
      </w:r>
    </w:p>
    <w:p>
      <w:pPr>
        <w:widowControl/>
        <w:spacing w:line="360" w:lineRule="auto"/>
        <w:ind w:firstLine="360" w:firstLineChars="150"/>
        <w:jc w:val="center"/>
        <w:rPr>
          <w:rFonts w:ascii="Times New Roman" w:hAnsi="Times New Roman"/>
          <w:color w:val="auto"/>
          <w:sz w:val="24"/>
          <w:szCs w:val="24"/>
          <w:highlight w:val="none"/>
        </w:rPr>
      </w:pPr>
      <w:r>
        <w:rPr>
          <w:rFonts w:hint="eastAsia" w:ascii="Times New Roman" w:hAnsi="Times New Roman"/>
          <w:color w:val="auto"/>
          <w:sz w:val="24"/>
          <w:szCs w:val="24"/>
          <w:highlight w:val="none"/>
        </w:rPr>
        <w:t>图5</w:t>
      </w:r>
      <w:r>
        <w:rPr>
          <w:rFonts w:ascii="Times New Roman" w:hAnsi="Times New Roman"/>
          <w:color w:val="auto"/>
          <w:sz w:val="24"/>
          <w:szCs w:val="24"/>
          <w:highlight w:val="none"/>
        </w:rPr>
        <w:t>.1.</w:t>
      </w:r>
      <w:r>
        <w:rPr>
          <w:rFonts w:hint="eastAsia" w:ascii="Times New Roman" w:hAnsi="Times New Roman"/>
          <w:color w:val="auto"/>
          <w:sz w:val="24"/>
          <w:szCs w:val="24"/>
          <w:highlight w:val="none"/>
          <w:lang w:val="en-US" w:eastAsia="zh-CN"/>
        </w:rPr>
        <w:t>4</w:t>
      </w:r>
      <w:r>
        <w:rPr>
          <w:rFonts w:hint="eastAsia" w:ascii="Times New Roman" w:hAnsi="Times New Roman"/>
          <w:color w:val="auto"/>
          <w:sz w:val="24"/>
          <w:szCs w:val="24"/>
          <w:highlight w:val="none"/>
        </w:rPr>
        <w:t>卫生间、淋浴间等潮湿环境内保温复合板构造节点</w:t>
      </w:r>
    </w:p>
    <w:p>
      <w:pPr>
        <w:widowControl/>
        <w:spacing w:line="360" w:lineRule="auto"/>
        <w:rPr>
          <w:color w:val="auto"/>
          <w:highlight w:val="none"/>
        </w:rPr>
      </w:pPr>
      <w:r>
        <w:rPr>
          <w:rFonts w:hint="eastAsia" w:ascii="楷体" w:hAnsi="楷体" w:eastAsia="楷体"/>
          <w:color w:val="auto"/>
          <w:sz w:val="24"/>
          <w:szCs w:val="24"/>
          <w:highlight w:val="none"/>
        </w:rPr>
        <w:t>【条文说明】</w:t>
      </w:r>
      <w:r>
        <w:rPr>
          <w:rFonts w:hint="eastAsia" w:ascii="楷体" w:hAnsi="楷体" w:eastAsia="楷体"/>
          <w:color w:val="auto"/>
          <w:sz w:val="24"/>
          <w:szCs w:val="24"/>
          <w:highlight w:val="none"/>
          <w:lang w:val="en-US" w:eastAsia="zh-CN"/>
        </w:rPr>
        <w:t>5.1.4</w:t>
      </w:r>
      <w:r>
        <w:rPr>
          <w:rFonts w:hint="eastAsia" w:ascii="楷体" w:hAnsi="楷体" w:eastAsia="楷体"/>
          <w:color w:val="auto"/>
          <w:sz w:val="24"/>
          <w:szCs w:val="24"/>
          <w:highlight w:val="none"/>
        </w:rPr>
        <w:t>厨房区域要求防水层置于内保温复合板系统的外侧亦是基于防水防潮整体效果的保证考虑</w:t>
      </w:r>
      <w:r>
        <w:rPr>
          <w:rFonts w:hint="eastAsia" w:ascii="楷体" w:hAnsi="楷体" w:eastAsia="楷体"/>
          <w:color w:val="auto"/>
          <w:sz w:val="24"/>
          <w:szCs w:val="24"/>
          <w:highlight w:val="none"/>
          <w:lang w:eastAsia="zh-CN"/>
        </w:rPr>
        <w:t>。</w:t>
      </w:r>
      <w:r>
        <w:rPr>
          <w:rFonts w:hint="eastAsia" w:ascii="楷体" w:hAnsi="楷体" w:eastAsia="楷体"/>
          <w:color w:val="auto"/>
          <w:sz w:val="24"/>
          <w:szCs w:val="24"/>
          <w:highlight w:val="none"/>
        </w:rPr>
        <w:t>卫生间、淋浴间等长期涉水的潮湿环境外墙内保温系统应重点保证其防水效果，该区域建议采用节能型轻质抹灰砂浆进行保温，确需采用复合板内保温系统时为避免锚栓钻透墙体内表面的防水层，取消了卫生间等处的锚栓固定，采用满粘方式固定，并要求在基层墙体内表面和内保温复合板面层上分别做两道防水。</w:t>
      </w:r>
      <w:bookmarkStart w:id="191" w:name="_Toc29678"/>
    </w:p>
    <w:p>
      <w:pPr>
        <w:spacing w:line="360" w:lineRule="auto"/>
        <w:jc w:val="left"/>
        <w:outlineLvl w:val="2"/>
        <w:rPr>
          <w:rFonts w:asciiTheme="minorEastAsia" w:hAnsiTheme="minorEastAsia"/>
          <w:color w:val="auto"/>
          <w:sz w:val="24"/>
          <w:highlight w:val="none"/>
        </w:rPr>
      </w:pPr>
      <w:r>
        <w:rPr>
          <w:rFonts w:hint="eastAsia" w:asciiTheme="minorEastAsia" w:hAnsiTheme="minorEastAsia"/>
          <w:b/>
          <w:color w:val="auto"/>
          <w:sz w:val="24"/>
          <w:szCs w:val="24"/>
          <w:highlight w:val="none"/>
        </w:rPr>
        <w:t xml:space="preserve">5.1.5 </w:t>
      </w:r>
      <w:r>
        <w:rPr>
          <w:rFonts w:hint="eastAsia" w:asciiTheme="minorEastAsia" w:hAnsiTheme="minorEastAsia"/>
          <w:color w:val="auto"/>
          <w:sz w:val="24"/>
          <w:highlight w:val="none"/>
        </w:rPr>
        <w:t>内保温系统各构造层组成材料的选择，应符合以下规定：</w:t>
      </w:r>
    </w:p>
    <w:p>
      <w:pPr>
        <w:spacing w:line="360" w:lineRule="auto"/>
        <w:ind w:firstLine="482" w:firstLineChars="200"/>
        <w:jc w:val="left"/>
        <w:rPr>
          <w:rFonts w:asciiTheme="minorEastAsia" w:hAnsiTheme="minorEastAsia"/>
          <w:strike/>
          <w:color w:val="auto"/>
          <w:sz w:val="24"/>
          <w:highlight w:val="none"/>
        </w:rPr>
      </w:pPr>
      <w:r>
        <w:rPr>
          <w:rFonts w:hint="eastAsia" w:asciiTheme="minorEastAsia" w:hAnsiTheme="minorEastAsia"/>
          <w:b/>
          <w:color w:val="auto"/>
          <w:sz w:val="24"/>
          <w:highlight w:val="none"/>
        </w:rPr>
        <w:t>1</w:t>
      </w:r>
      <w:r>
        <w:rPr>
          <w:rFonts w:hint="eastAsia" w:asciiTheme="minorEastAsia" w:hAnsiTheme="minorEastAsia"/>
          <w:color w:val="auto"/>
          <w:sz w:val="24"/>
          <w:highlight w:val="none"/>
        </w:rPr>
        <w:t>厨房、卫生间等潮湿环境应选用面砖内饰面；</w:t>
      </w:r>
      <w:r>
        <w:rPr>
          <w:rFonts w:hint="eastAsia" w:ascii="Times New Roman" w:hAnsi="Times New Roman"/>
          <w:color w:val="auto"/>
          <w:sz w:val="24"/>
          <w:szCs w:val="24"/>
          <w:highlight w:val="none"/>
        </w:rPr>
        <w:t>墙面铺贴面砖时，铺贴墙面砖的最大高度不应大于3.6m，墙面砖厚度不</w:t>
      </w:r>
      <w:r>
        <w:rPr>
          <w:rFonts w:hint="eastAsia" w:ascii="Times New Roman" w:hAnsi="Times New Roman"/>
          <w:color w:val="auto"/>
          <w:sz w:val="24"/>
          <w:szCs w:val="24"/>
          <w:highlight w:val="none"/>
          <w:lang w:val="en-US" w:eastAsia="zh-CN"/>
        </w:rPr>
        <w:t>应</w:t>
      </w:r>
      <w:r>
        <w:rPr>
          <w:rFonts w:hint="eastAsia" w:ascii="Times New Roman" w:hAnsi="Times New Roman"/>
          <w:color w:val="auto"/>
          <w:sz w:val="24"/>
          <w:szCs w:val="24"/>
          <w:highlight w:val="none"/>
        </w:rPr>
        <w:t>大于10mm，单位面积重量不应大于20kg/ m</w:t>
      </w:r>
      <w:r>
        <w:rPr>
          <w:rFonts w:ascii="Times New Roman" w:hAnsi="Times New Roman"/>
          <w:color w:val="auto"/>
          <w:sz w:val="24"/>
          <w:szCs w:val="24"/>
          <w:highlight w:val="none"/>
          <w:vertAlign w:val="superscript"/>
        </w:rPr>
        <w:t>2</w:t>
      </w:r>
      <w:r>
        <w:rPr>
          <w:rFonts w:hint="eastAsia" w:ascii="Times New Roman" w:hAnsi="Times New Roman"/>
          <w:color w:val="auto"/>
          <w:sz w:val="24"/>
          <w:szCs w:val="24"/>
          <w:highlight w:val="none"/>
        </w:rPr>
        <w:t>且应采用专用的面砖胶粘剂，厨房</w:t>
      </w:r>
      <w:r>
        <w:rPr>
          <w:rFonts w:ascii="Times New Roman" w:hAnsi="Times New Roman"/>
          <w:color w:val="auto"/>
          <w:sz w:val="24"/>
          <w:szCs w:val="24"/>
          <w:highlight w:val="none"/>
        </w:rPr>
        <w:t>、卫生间等潮湿环境或饰面层为面砖时不得使用粉刷石膏抹面</w:t>
      </w:r>
      <w:r>
        <w:rPr>
          <w:rFonts w:hint="eastAsia" w:ascii="Times New Roman" w:hAnsi="Times New Roman"/>
          <w:color w:val="auto"/>
          <w:sz w:val="24"/>
          <w:szCs w:val="24"/>
          <w:highlight w:val="none"/>
        </w:rPr>
        <w:t>。</w:t>
      </w:r>
    </w:p>
    <w:p>
      <w:pPr>
        <w:spacing w:line="360" w:lineRule="auto"/>
        <w:ind w:firstLine="482" w:firstLineChars="200"/>
        <w:jc w:val="left"/>
        <w:rPr>
          <w:rFonts w:asciiTheme="minorEastAsia" w:hAnsiTheme="minorEastAsia"/>
          <w:color w:val="auto"/>
          <w:sz w:val="24"/>
          <w:highlight w:val="none"/>
        </w:rPr>
      </w:pPr>
      <w:r>
        <w:rPr>
          <w:rFonts w:hint="eastAsia" w:asciiTheme="minorEastAsia" w:hAnsiTheme="minorEastAsia"/>
          <w:b/>
          <w:color w:val="auto"/>
          <w:sz w:val="24"/>
          <w:highlight w:val="none"/>
        </w:rPr>
        <w:t>2</w:t>
      </w:r>
      <w:r>
        <w:rPr>
          <w:rFonts w:hint="eastAsia" w:asciiTheme="minorEastAsia" w:hAnsiTheme="minorEastAsia"/>
          <w:color w:val="auto"/>
          <w:sz w:val="24"/>
          <w:highlight w:val="none"/>
        </w:rPr>
        <w:t>其它内饰面宜选用透气材料（厨房、卫生间等潮湿环境除外）或具有调湿功能的材料；</w:t>
      </w:r>
      <w:r>
        <w:rPr>
          <w:rFonts w:hint="eastAsia" w:ascii="Times New Roman" w:hAnsi="Times New Roman"/>
          <w:color w:val="auto"/>
          <w:sz w:val="24"/>
          <w:szCs w:val="24"/>
          <w:highlight w:val="none"/>
        </w:rPr>
        <w:t>复合板内保温系统的饰面层不宜采用面砖等贴面材料。</w:t>
      </w:r>
    </w:p>
    <w:p>
      <w:pPr>
        <w:widowControl/>
        <w:spacing w:line="360" w:lineRule="auto"/>
        <w:ind w:firstLine="480" w:firstLineChars="200"/>
        <w:rPr>
          <w:rFonts w:ascii="Times New Roman" w:hAnsi="Times New Roman"/>
          <w:color w:val="auto"/>
          <w:sz w:val="24"/>
          <w:szCs w:val="24"/>
          <w:highlight w:val="none"/>
        </w:rPr>
      </w:pPr>
      <w:r>
        <w:rPr>
          <w:rFonts w:hint="eastAsia" w:ascii="Times New Roman" w:hAnsi="Times New Roman"/>
          <w:color w:val="auto"/>
          <w:sz w:val="24"/>
          <w:szCs w:val="24"/>
          <w:highlight w:val="none"/>
        </w:rPr>
        <w:t>3</w:t>
      </w:r>
      <w:r>
        <w:rPr>
          <w:rFonts w:ascii="Times New Roman" w:hAnsi="Times New Roman"/>
          <w:color w:val="auto"/>
          <w:sz w:val="24"/>
          <w:szCs w:val="24"/>
          <w:highlight w:val="none"/>
        </w:rPr>
        <w:t>复</w:t>
      </w:r>
      <w:r>
        <w:rPr>
          <w:rFonts w:hint="eastAsia" w:ascii="Times New Roman" w:hAnsi="Times New Roman"/>
          <w:color w:val="auto"/>
          <w:sz w:val="24"/>
          <w:szCs w:val="24"/>
          <w:highlight w:val="none"/>
        </w:rPr>
        <w:t>合板与</w:t>
      </w:r>
      <w:r>
        <w:rPr>
          <w:rFonts w:ascii="Times New Roman" w:hAnsi="Times New Roman"/>
          <w:color w:val="auto"/>
          <w:sz w:val="24"/>
          <w:szCs w:val="24"/>
          <w:highlight w:val="none"/>
        </w:rPr>
        <w:t>基层墙体</w:t>
      </w:r>
      <w:r>
        <w:rPr>
          <w:rFonts w:hint="eastAsia" w:ascii="Times New Roman" w:hAnsi="Times New Roman"/>
          <w:color w:val="auto"/>
          <w:sz w:val="24"/>
          <w:szCs w:val="24"/>
          <w:highlight w:val="none"/>
        </w:rPr>
        <w:t>的</w:t>
      </w:r>
      <w:r>
        <w:rPr>
          <w:rFonts w:ascii="Times New Roman" w:hAnsi="Times New Roman"/>
          <w:color w:val="auto"/>
          <w:sz w:val="24"/>
          <w:szCs w:val="24"/>
          <w:highlight w:val="none"/>
        </w:rPr>
        <w:t>粘结，可采用胶粘剂或粘结石膏。当</w:t>
      </w:r>
      <w:r>
        <w:rPr>
          <w:rFonts w:hint="eastAsia" w:ascii="Times New Roman" w:hAnsi="Times New Roman"/>
          <w:color w:val="auto"/>
          <w:sz w:val="24"/>
          <w:szCs w:val="24"/>
          <w:highlight w:val="none"/>
        </w:rPr>
        <w:t>用于厨房</w:t>
      </w:r>
      <w:r>
        <w:rPr>
          <w:rFonts w:ascii="Times New Roman" w:hAnsi="Times New Roman"/>
          <w:color w:val="auto"/>
          <w:sz w:val="24"/>
          <w:szCs w:val="24"/>
          <w:highlight w:val="none"/>
        </w:rPr>
        <w:t>、卫生间等潮湿环境或饰面层为面砖时，应采用胶粘剂。</w:t>
      </w:r>
    </w:p>
    <w:p>
      <w:pPr>
        <w:spacing w:line="360" w:lineRule="auto"/>
        <w:ind w:firstLine="482" w:firstLineChars="200"/>
        <w:jc w:val="left"/>
        <w:rPr>
          <w:rFonts w:hint="eastAsia" w:eastAsia="宋体" w:asciiTheme="minorEastAsia" w:hAnsiTheme="minorEastAsia"/>
          <w:color w:val="auto"/>
          <w:sz w:val="24"/>
          <w:highlight w:val="none"/>
          <w:lang w:eastAsia="zh-CN"/>
        </w:rPr>
      </w:pPr>
      <w:r>
        <w:rPr>
          <w:rFonts w:hint="eastAsia" w:asciiTheme="minorEastAsia" w:hAnsiTheme="minorEastAsia"/>
          <w:b/>
          <w:color w:val="auto"/>
          <w:sz w:val="24"/>
          <w:highlight w:val="none"/>
        </w:rPr>
        <w:t>4</w:t>
      </w:r>
      <w:r>
        <w:rPr>
          <w:rFonts w:hint="eastAsia" w:asciiTheme="minorEastAsia" w:hAnsiTheme="minorEastAsia"/>
          <w:color w:val="auto"/>
          <w:sz w:val="24"/>
          <w:highlight w:val="none"/>
        </w:rPr>
        <w:t>内保温的粘结复合板系统和粘结保温板系统用于非潮湿环境并设置隔汽层时，可选用面砖、透气性能较低的内墙涂料等兼作隔汽层；否则内饰面可选用透气材料或具有调湿功能的材料</w:t>
      </w:r>
      <w:r>
        <w:rPr>
          <w:rFonts w:hint="eastAsia" w:asciiTheme="minorEastAsia" w:hAnsiTheme="minorEastAsia"/>
          <w:color w:val="auto"/>
          <w:sz w:val="24"/>
          <w:highlight w:val="none"/>
          <w:lang w:eastAsia="zh-CN"/>
        </w:rPr>
        <w:t>。</w:t>
      </w:r>
    </w:p>
    <w:p>
      <w:pPr>
        <w:spacing w:line="360" w:lineRule="auto"/>
        <w:ind w:firstLine="482" w:firstLineChars="200"/>
        <w:jc w:val="left"/>
        <w:rPr>
          <w:rFonts w:asciiTheme="minorEastAsia" w:hAnsiTheme="minorEastAsia"/>
          <w:color w:val="auto"/>
          <w:sz w:val="24"/>
          <w:highlight w:val="none"/>
        </w:rPr>
      </w:pPr>
      <w:r>
        <w:rPr>
          <w:rFonts w:hint="eastAsia" w:asciiTheme="minorEastAsia" w:hAnsiTheme="minorEastAsia"/>
          <w:b/>
          <w:color w:val="auto"/>
          <w:sz w:val="24"/>
          <w:highlight w:val="none"/>
        </w:rPr>
        <w:t>5</w:t>
      </w:r>
      <w:r>
        <w:rPr>
          <w:rFonts w:hint="eastAsia" w:asciiTheme="minorEastAsia" w:hAnsiTheme="minorEastAsia"/>
          <w:color w:val="auto"/>
          <w:sz w:val="24"/>
          <w:highlight w:val="none"/>
        </w:rPr>
        <w:t>粘结复合板系统和龙骨面板系统采用低收缩性面板时，可选普通型腻子；</w:t>
      </w:r>
      <w:r>
        <w:rPr>
          <w:rFonts w:hint="eastAsia" w:ascii="Times New Roman" w:hAnsi="Times New Roman"/>
          <w:color w:val="auto"/>
          <w:sz w:val="24"/>
          <w:szCs w:val="24"/>
          <w:highlight w:val="none"/>
        </w:rPr>
        <w:t>当</w:t>
      </w:r>
      <w:r>
        <w:rPr>
          <w:rFonts w:ascii="Times New Roman" w:hAnsi="Times New Roman"/>
          <w:color w:val="auto"/>
          <w:sz w:val="24"/>
          <w:szCs w:val="24"/>
          <w:highlight w:val="none"/>
        </w:rPr>
        <w:t>内保温工程用于厨房、卫生间等潮湿环境采用腻子时，</w:t>
      </w:r>
      <w:r>
        <w:rPr>
          <w:rFonts w:hint="eastAsia" w:ascii="Times New Roman" w:hAnsi="Times New Roman"/>
          <w:color w:val="auto"/>
          <w:sz w:val="24"/>
          <w:szCs w:val="24"/>
          <w:highlight w:val="none"/>
        </w:rPr>
        <w:t>应</w:t>
      </w:r>
      <w:r>
        <w:rPr>
          <w:rFonts w:ascii="Times New Roman" w:hAnsi="Times New Roman"/>
          <w:color w:val="auto"/>
          <w:sz w:val="24"/>
          <w:szCs w:val="24"/>
          <w:highlight w:val="none"/>
        </w:rPr>
        <w:t>选用耐水型腻子；在低收缩性</w:t>
      </w:r>
      <w:r>
        <w:rPr>
          <w:rFonts w:hint="eastAsia" w:ascii="Times New Roman" w:hAnsi="Times New Roman"/>
          <w:color w:val="auto"/>
          <w:sz w:val="24"/>
          <w:szCs w:val="24"/>
          <w:highlight w:val="none"/>
        </w:rPr>
        <w:t>面板</w:t>
      </w:r>
      <w:r>
        <w:rPr>
          <w:rFonts w:ascii="Times New Roman" w:hAnsi="Times New Roman"/>
          <w:color w:val="auto"/>
          <w:sz w:val="24"/>
          <w:szCs w:val="24"/>
          <w:highlight w:val="none"/>
        </w:rPr>
        <w:t>上刮涂腻子时，可选普通型腻子；</w:t>
      </w:r>
      <w:r>
        <w:rPr>
          <w:rFonts w:asciiTheme="minorEastAsia" w:hAnsiTheme="minorEastAsia"/>
          <w:color w:val="auto"/>
          <w:sz w:val="24"/>
          <w:highlight w:val="none"/>
        </w:rPr>
        <w:t>保温层尺寸稳定性差或</w:t>
      </w:r>
      <w:r>
        <w:rPr>
          <w:rFonts w:hint="eastAsia" w:asciiTheme="minorEastAsia" w:hAnsiTheme="minorEastAsia"/>
          <w:color w:val="auto"/>
          <w:sz w:val="24"/>
          <w:highlight w:val="none"/>
        </w:rPr>
        <w:t>面层材料</w:t>
      </w:r>
      <w:r>
        <w:rPr>
          <w:rFonts w:asciiTheme="minorEastAsia" w:hAnsiTheme="minorEastAsia"/>
          <w:color w:val="auto"/>
          <w:sz w:val="24"/>
          <w:highlight w:val="none"/>
        </w:rPr>
        <w:t>收缩值大时，宜选用弹性腻子</w:t>
      </w:r>
      <w:r>
        <w:rPr>
          <w:rFonts w:hint="eastAsia" w:asciiTheme="minorEastAsia" w:hAnsiTheme="minorEastAsia"/>
          <w:color w:val="auto"/>
          <w:sz w:val="24"/>
          <w:highlight w:val="none"/>
        </w:rPr>
        <w:t>，不得选用普通型腻子</w:t>
      </w:r>
      <w:r>
        <w:rPr>
          <w:rFonts w:asciiTheme="minorEastAsia" w:hAnsiTheme="minorEastAsia"/>
          <w:color w:val="auto"/>
          <w:sz w:val="24"/>
          <w:highlight w:val="none"/>
        </w:rPr>
        <w:t>。</w:t>
      </w:r>
    </w:p>
    <w:p>
      <w:pPr>
        <w:spacing w:line="360" w:lineRule="auto"/>
        <w:jc w:val="left"/>
        <w:rPr>
          <w:rFonts w:ascii="楷体" w:hAnsi="楷体" w:eastAsia="楷体" w:cs="宋体"/>
          <w:color w:val="auto"/>
          <w:spacing w:val="-8"/>
          <w:kern w:val="0"/>
          <w:sz w:val="24"/>
          <w:szCs w:val="24"/>
          <w:highlight w:val="none"/>
        </w:rPr>
      </w:pPr>
      <w:r>
        <w:rPr>
          <w:rFonts w:hint="eastAsia" w:ascii="楷体" w:hAnsi="楷体" w:eastAsia="楷体" w:cs="宋体"/>
          <w:color w:val="auto"/>
          <w:spacing w:val="-8"/>
          <w:kern w:val="0"/>
          <w:sz w:val="24"/>
          <w:szCs w:val="24"/>
          <w:highlight w:val="none"/>
        </w:rPr>
        <w:t>【条文说明】</w:t>
      </w:r>
      <w:r>
        <w:rPr>
          <w:rFonts w:hint="eastAsia" w:ascii="楷体" w:hAnsi="楷体" w:eastAsia="楷体" w:cs="宋体"/>
          <w:color w:val="auto"/>
          <w:spacing w:val="-8"/>
          <w:kern w:val="0"/>
          <w:sz w:val="24"/>
          <w:szCs w:val="24"/>
          <w:highlight w:val="none"/>
          <w:lang w:val="en-US" w:eastAsia="zh-CN"/>
        </w:rPr>
        <w:t xml:space="preserve">5.1.5  </w:t>
      </w:r>
      <w:r>
        <w:rPr>
          <w:rFonts w:hint="eastAsia" w:ascii="楷体" w:hAnsi="楷体" w:eastAsia="楷体" w:cs="宋体"/>
          <w:color w:val="auto"/>
          <w:spacing w:val="-8"/>
          <w:kern w:val="0"/>
          <w:sz w:val="24"/>
          <w:szCs w:val="24"/>
          <w:highlight w:val="none"/>
        </w:rPr>
        <w:t>1.对内侧已有内保温的建筑外墙，外饰面选用防水透气材料，既有利于防止外部水的侵入及渗透，又有利于墙体内的水分的蒸发排出。已有的外保温工程经验表明，外饰面采用蒸气渗透阻较大的涂料或面砖，经过一段时间后，会因为水分挥发导致涂层鼓包或者饰面砖空鼓甚至脱落。</w:t>
      </w:r>
    </w:p>
    <w:p>
      <w:pPr>
        <w:widowControl/>
        <w:spacing w:line="360" w:lineRule="auto"/>
        <w:ind w:firstLine="448" w:firstLineChars="200"/>
        <w:rPr>
          <w:rFonts w:ascii="楷体" w:hAnsi="楷体" w:eastAsia="楷体"/>
          <w:color w:val="auto"/>
          <w:sz w:val="24"/>
          <w:szCs w:val="24"/>
          <w:highlight w:val="none"/>
        </w:rPr>
      </w:pPr>
      <w:r>
        <w:rPr>
          <w:rFonts w:hint="eastAsia" w:ascii="楷体" w:hAnsi="楷体" w:eastAsia="楷体" w:cs="宋体"/>
          <w:color w:val="auto"/>
          <w:spacing w:val="-8"/>
          <w:kern w:val="0"/>
          <w:sz w:val="24"/>
          <w:szCs w:val="24"/>
          <w:highlight w:val="none"/>
        </w:rPr>
        <w:t>2内饰面宜选用透气材料，便于墙体排湿。重庆地处长江中上游，每年的梅雨季节空气湿度增大，易产生室内墙面结露现象，因此也可选用一些具有调湿功能的内饰面材料。</w:t>
      </w:r>
      <w:r>
        <w:rPr>
          <w:rFonts w:hint="eastAsia" w:ascii="楷体" w:hAnsi="楷体" w:eastAsia="楷体"/>
          <w:color w:val="auto"/>
          <w:sz w:val="24"/>
          <w:szCs w:val="24"/>
          <w:highlight w:val="none"/>
        </w:rPr>
        <w:t>内保温复合板系统饰面采用面砖时，面砖的荷载传递给内保温复合板系统，既要考虑保温系统与基层墙体的粘接，还要考虑面砖与复合板面板的粘接，增加了内保温复合板系统的承载力，为确保内保温系统的安全稳定，内保温复合板系统饰面层不宜采用面砖饰面，由于建筑功能需要，确需采用面砖饰面时，应严格控制内保温复合板系统与面砖之间的粘接强度，面砖性能应符合现行国家标准《陶瓷砖》G</w:t>
      </w:r>
      <w:r>
        <w:rPr>
          <w:rFonts w:ascii="楷体" w:hAnsi="楷体" w:eastAsia="楷体"/>
          <w:color w:val="auto"/>
          <w:sz w:val="24"/>
          <w:szCs w:val="24"/>
          <w:highlight w:val="none"/>
        </w:rPr>
        <w:t>B/T 4100</w:t>
      </w:r>
      <w:r>
        <w:rPr>
          <w:rFonts w:hint="eastAsia" w:ascii="楷体" w:hAnsi="楷体" w:eastAsia="楷体"/>
          <w:color w:val="auto"/>
          <w:sz w:val="24"/>
          <w:szCs w:val="24"/>
          <w:highlight w:val="none"/>
        </w:rPr>
        <w:t>的规定，并采用专用粘胶剂和填缝剂，其安装高度不应大于3</w:t>
      </w:r>
      <w:r>
        <w:rPr>
          <w:rFonts w:ascii="楷体" w:hAnsi="楷体" w:eastAsia="楷体"/>
          <w:color w:val="auto"/>
          <w:sz w:val="24"/>
          <w:szCs w:val="24"/>
          <w:highlight w:val="none"/>
        </w:rPr>
        <w:t>.6</w:t>
      </w:r>
      <w:r>
        <w:rPr>
          <w:rFonts w:hint="eastAsia" w:ascii="楷体" w:hAnsi="楷体" w:eastAsia="楷体"/>
          <w:color w:val="auto"/>
          <w:sz w:val="24"/>
          <w:szCs w:val="24"/>
          <w:highlight w:val="none"/>
        </w:rPr>
        <w:t>m，厚度不应大于1</w:t>
      </w:r>
      <w:r>
        <w:rPr>
          <w:rFonts w:ascii="楷体" w:hAnsi="楷体" w:eastAsia="楷体"/>
          <w:color w:val="auto"/>
          <w:sz w:val="24"/>
          <w:szCs w:val="24"/>
          <w:highlight w:val="none"/>
        </w:rPr>
        <w:t>0</w:t>
      </w:r>
      <w:r>
        <w:rPr>
          <w:rFonts w:hint="eastAsia" w:ascii="楷体" w:hAnsi="楷体" w:eastAsia="楷体"/>
          <w:color w:val="auto"/>
          <w:sz w:val="24"/>
          <w:szCs w:val="24"/>
          <w:highlight w:val="none"/>
        </w:rPr>
        <w:t>mm，单位面积质量不应大于20kg/ m,。当采用大理石、花岗石等材料作为饰面时，应按有关规定采用干挂的构造做法。</w:t>
      </w:r>
    </w:p>
    <w:p>
      <w:pPr>
        <w:spacing w:line="360" w:lineRule="auto"/>
        <w:ind w:firstLine="480" w:firstLineChars="200"/>
        <w:jc w:val="left"/>
        <w:rPr>
          <w:rFonts w:ascii="楷体" w:hAnsi="楷体" w:eastAsia="楷体" w:cs="宋体"/>
          <w:color w:val="auto"/>
          <w:spacing w:val="-8"/>
          <w:kern w:val="0"/>
          <w:sz w:val="24"/>
          <w:szCs w:val="24"/>
          <w:highlight w:val="none"/>
        </w:rPr>
      </w:pPr>
      <w:r>
        <w:rPr>
          <w:rFonts w:hint="eastAsia" w:ascii="楷体" w:hAnsi="楷体" w:eastAsia="楷体"/>
          <w:color w:val="auto"/>
          <w:sz w:val="24"/>
          <w:szCs w:val="24"/>
          <w:highlight w:val="none"/>
        </w:rPr>
        <w:t>3明确石膏基材料,不得用于潮湿环境和面砖饰面，明确了内饰面材料面砖的使用要求。</w:t>
      </w:r>
    </w:p>
    <w:p>
      <w:pPr>
        <w:spacing w:line="360" w:lineRule="auto"/>
        <w:ind w:firstLine="448" w:firstLineChars="200"/>
        <w:jc w:val="left"/>
        <w:rPr>
          <w:rFonts w:ascii="楷体" w:hAnsi="楷体" w:eastAsia="楷体" w:cs="宋体"/>
          <w:color w:val="auto"/>
          <w:spacing w:val="-8"/>
          <w:kern w:val="0"/>
          <w:sz w:val="24"/>
          <w:szCs w:val="24"/>
          <w:highlight w:val="none"/>
        </w:rPr>
      </w:pPr>
      <w:r>
        <w:rPr>
          <w:rFonts w:hint="eastAsia" w:ascii="楷体" w:hAnsi="楷体" w:eastAsia="楷体" w:cs="宋体"/>
          <w:color w:val="auto"/>
          <w:spacing w:val="-8"/>
          <w:kern w:val="0"/>
          <w:sz w:val="24"/>
          <w:szCs w:val="24"/>
          <w:highlight w:val="none"/>
        </w:rPr>
        <w:t>4因为构造方式的特点，内保温的粘结复合板系统和粘结保温板系统设置隔汽层时，可选用一些釉面砖、蒸汽渗透阻相对较大（不透气）品种的内墙乳胶漆等材料作为隔汽层。釉面砖、内墙乳胶漆等材料的蒸汽渗透性能按照《建筑材料及其制品水蒸气透过性能试验方法》</w:t>
      </w:r>
      <w:r>
        <w:rPr>
          <w:rFonts w:ascii="楷体" w:hAnsi="楷体" w:eastAsia="楷体" w:cs="宋体"/>
          <w:color w:val="auto"/>
          <w:spacing w:val="-8"/>
          <w:kern w:val="0"/>
          <w:sz w:val="24"/>
          <w:szCs w:val="24"/>
          <w:highlight w:val="none"/>
        </w:rPr>
        <w:t>GB/T 17146</w:t>
      </w:r>
      <w:r>
        <w:rPr>
          <w:rFonts w:hint="eastAsia" w:ascii="楷体" w:hAnsi="楷体" w:eastAsia="楷体" w:cs="宋体"/>
          <w:color w:val="auto"/>
          <w:spacing w:val="-8"/>
          <w:kern w:val="0"/>
          <w:sz w:val="24"/>
          <w:szCs w:val="24"/>
          <w:highlight w:val="none"/>
        </w:rPr>
        <w:t>测定后取用，以进行冷凝验算。</w:t>
      </w:r>
    </w:p>
    <w:p>
      <w:pPr>
        <w:spacing w:line="360" w:lineRule="auto"/>
        <w:ind w:firstLine="448" w:firstLineChars="200"/>
        <w:jc w:val="left"/>
        <w:rPr>
          <w:rFonts w:ascii="楷体" w:hAnsi="楷体" w:eastAsia="楷体" w:cs="宋体"/>
          <w:color w:val="auto"/>
          <w:spacing w:val="-8"/>
          <w:kern w:val="0"/>
          <w:sz w:val="24"/>
          <w:szCs w:val="24"/>
          <w:highlight w:val="none"/>
        </w:rPr>
      </w:pPr>
      <w:r>
        <w:rPr>
          <w:rFonts w:hint="eastAsia" w:ascii="楷体" w:hAnsi="楷体" w:eastAsia="楷体" w:cs="宋体"/>
          <w:color w:val="auto"/>
          <w:spacing w:val="-8"/>
          <w:kern w:val="0"/>
          <w:sz w:val="24"/>
          <w:szCs w:val="24"/>
          <w:highlight w:val="none"/>
        </w:rPr>
        <w:t>4龙骨面板系统构造中有隔汽材料，内饰面材料就无透气性要求。</w:t>
      </w:r>
    </w:p>
    <w:bookmarkEnd w:id="191"/>
    <w:p>
      <w:pPr>
        <w:widowControl/>
        <w:spacing w:line="360" w:lineRule="auto"/>
        <w:ind w:firstLine="480" w:firstLineChars="200"/>
        <w:rPr>
          <w:rFonts w:hint="eastAsia" w:eastAsia="楷体" w:asciiTheme="majorEastAsia" w:hAnsiTheme="majorEastAsia"/>
          <w:color w:val="auto"/>
          <w:sz w:val="24"/>
          <w:szCs w:val="24"/>
          <w:highlight w:val="none"/>
          <w:lang w:eastAsia="zh-CN"/>
        </w:rPr>
      </w:pPr>
      <w:bookmarkStart w:id="192" w:name="_Toc315775028"/>
      <w:bookmarkStart w:id="193" w:name="_Toc314828589"/>
      <w:bookmarkStart w:id="194" w:name="_Toc329789377"/>
      <w:bookmarkStart w:id="195" w:name="_Toc427234983"/>
      <w:r>
        <w:rPr>
          <w:rFonts w:hint="eastAsia" w:ascii="楷体" w:hAnsi="楷体" w:eastAsia="楷体"/>
          <w:color w:val="auto"/>
          <w:sz w:val="24"/>
          <w:szCs w:val="24"/>
          <w:highlight w:val="none"/>
        </w:rPr>
        <w:t>5明确外墙内保温用腻子的选用原则</w:t>
      </w:r>
      <w:bookmarkStart w:id="196" w:name="_Toc14188"/>
      <w:r>
        <w:rPr>
          <w:rFonts w:hint="eastAsia" w:ascii="楷体" w:hAnsi="楷体" w:eastAsia="楷体"/>
          <w:color w:val="auto"/>
          <w:sz w:val="24"/>
          <w:szCs w:val="24"/>
          <w:highlight w:val="none"/>
          <w:lang w:eastAsia="zh-CN"/>
        </w:rPr>
        <w:t>。</w:t>
      </w:r>
    </w:p>
    <w:p>
      <w:pPr>
        <w:spacing w:line="360" w:lineRule="auto"/>
        <w:outlineLvl w:val="2"/>
        <w:rPr>
          <w:rFonts w:asciiTheme="majorEastAsia" w:hAnsiTheme="majorEastAsia" w:eastAsiaTheme="majorEastAsia"/>
          <w:color w:val="auto"/>
          <w:sz w:val="24"/>
          <w:szCs w:val="24"/>
          <w:highlight w:val="none"/>
        </w:rPr>
      </w:pPr>
      <w:r>
        <w:rPr>
          <w:rFonts w:asciiTheme="majorEastAsia" w:hAnsiTheme="majorEastAsia" w:eastAsiaTheme="majorEastAsia"/>
          <w:color w:val="auto"/>
          <w:sz w:val="24"/>
          <w:szCs w:val="24"/>
          <w:highlight w:val="none"/>
        </w:rPr>
        <w:t>5.1.</w:t>
      </w:r>
      <w:r>
        <w:rPr>
          <w:rFonts w:hint="eastAsia" w:asciiTheme="majorEastAsia" w:hAnsiTheme="majorEastAsia" w:eastAsiaTheme="majorEastAsia"/>
          <w:color w:val="auto"/>
          <w:sz w:val="24"/>
          <w:szCs w:val="24"/>
          <w:highlight w:val="none"/>
          <w:lang w:val="en-US" w:eastAsia="zh-CN"/>
        </w:rPr>
        <w:t>6</w:t>
      </w:r>
      <w:r>
        <w:rPr>
          <w:rFonts w:asciiTheme="majorEastAsia" w:hAnsiTheme="majorEastAsia" w:eastAsiaTheme="majorEastAsia"/>
          <w:color w:val="auto"/>
          <w:sz w:val="24"/>
          <w:szCs w:val="24"/>
          <w:highlight w:val="none"/>
        </w:rPr>
        <w:t xml:space="preserve"> </w:t>
      </w:r>
      <w:r>
        <w:rPr>
          <w:rFonts w:hint="eastAsia" w:asciiTheme="majorEastAsia" w:hAnsiTheme="majorEastAsia" w:eastAsiaTheme="majorEastAsia"/>
          <w:color w:val="auto"/>
          <w:sz w:val="24"/>
          <w:szCs w:val="24"/>
          <w:highlight w:val="none"/>
        </w:rPr>
        <w:t>内保温系统门窗洞口部位应做保温处理，其构造应符合下列规定：</w:t>
      </w:r>
      <w:bookmarkEnd w:id="196"/>
    </w:p>
    <w:p>
      <w:pPr>
        <w:widowControl/>
        <w:spacing w:line="360" w:lineRule="auto"/>
        <w:ind w:firstLine="420"/>
        <w:rPr>
          <w:rFonts w:ascii="Times New Roman" w:hAnsi="Times New Roman"/>
          <w:color w:val="auto"/>
          <w:sz w:val="24"/>
          <w:szCs w:val="24"/>
          <w:highlight w:val="none"/>
        </w:rPr>
      </w:pPr>
      <w:r>
        <w:rPr>
          <w:rFonts w:hint="eastAsia" w:ascii="Times New Roman" w:hAnsi="Times New Roman"/>
          <w:color w:val="auto"/>
          <w:sz w:val="24"/>
          <w:szCs w:val="24"/>
          <w:highlight w:val="none"/>
        </w:rPr>
        <w:t>1门窗洞口内侧采用复合板进行保温处理时，保温层最小厚度应不小于2</w:t>
      </w:r>
      <w:r>
        <w:rPr>
          <w:rFonts w:ascii="Times New Roman" w:hAnsi="Times New Roman"/>
          <w:color w:val="auto"/>
          <w:sz w:val="24"/>
          <w:szCs w:val="24"/>
          <w:highlight w:val="none"/>
        </w:rPr>
        <w:t>0</w:t>
      </w:r>
      <w:r>
        <w:rPr>
          <w:rFonts w:hint="eastAsia" w:ascii="Times New Roman" w:hAnsi="Times New Roman"/>
          <w:color w:val="auto"/>
          <w:sz w:val="24"/>
          <w:szCs w:val="24"/>
          <w:highlight w:val="none"/>
        </w:rPr>
        <w:t>mm，其面板应采用耐水纸面石膏板、无石棉纤维水泥板或无石棉硅酸钙板。</w:t>
      </w:r>
    </w:p>
    <w:p>
      <w:pPr>
        <w:widowControl/>
        <w:spacing w:line="360" w:lineRule="auto"/>
        <w:ind w:firstLine="420"/>
        <w:rPr>
          <w:rFonts w:ascii="Times New Roman" w:hAnsi="Times New Roman"/>
          <w:color w:val="auto"/>
          <w:sz w:val="24"/>
          <w:szCs w:val="24"/>
          <w:highlight w:val="none"/>
        </w:rPr>
      </w:pPr>
      <w:r>
        <w:rPr>
          <w:rFonts w:hint="eastAsia" w:ascii="Times New Roman" w:hAnsi="Times New Roman"/>
          <w:color w:val="auto"/>
          <w:sz w:val="24"/>
          <w:szCs w:val="24"/>
          <w:highlight w:val="none"/>
        </w:rPr>
        <w:t>2门窗</w:t>
      </w:r>
      <w:r>
        <w:rPr>
          <w:rFonts w:ascii="Times New Roman" w:hAnsi="Times New Roman"/>
          <w:color w:val="auto"/>
          <w:sz w:val="24"/>
          <w:szCs w:val="24"/>
          <w:highlight w:val="none"/>
        </w:rPr>
        <w:t>洞口</w:t>
      </w:r>
      <w:r>
        <w:rPr>
          <w:rFonts w:hint="eastAsia" w:ascii="Times New Roman" w:hAnsi="Times New Roman"/>
          <w:color w:val="auto"/>
          <w:sz w:val="24"/>
          <w:szCs w:val="24"/>
          <w:highlight w:val="none"/>
        </w:rPr>
        <w:t>采用节能型轻质抹灰砂浆保温时，门窗洞口的室内、外层设置厚度不小于</w:t>
      </w:r>
      <w:r>
        <w:rPr>
          <w:rFonts w:ascii="Times New Roman" w:hAnsi="Times New Roman"/>
          <w:color w:val="auto"/>
          <w:sz w:val="24"/>
          <w:szCs w:val="24"/>
          <w:highlight w:val="none"/>
        </w:rPr>
        <w:t>15</w:t>
      </w:r>
      <w:r>
        <w:rPr>
          <w:rFonts w:hint="eastAsia" w:ascii="Times New Roman" w:hAnsi="Times New Roman"/>
          <w:color w:val="auto"/>
          <w:sz w:val="24"/>
          <w:szCs w:val="24"/>
          <w:highlight w:val="none"/>
        </w:rPr>
        <w:t>mm保温层，抹面层中应设置附加增强耐碱玻纤网格布，构造节点如图5</w:t>
      </w:r>
      <w:r>
        <w:rPr>
          <w:rFonts w:ascii="Times New Roman" w:hAnsi="Times New Roman"/>
          <w:color w:val="auto"/>
          <w:sz w:val="24"/>
          <w:szCs w:val="24"/>
          <w:highlight w:val="none"/>
        </w:rPr>
        <w:t>.1.</w:t>
      </w:r>
      <w:r>
        <w:rPr>
          <w:rFonts w:hint="eastAsia" w:ascii="Times New Roman" w:hAnsi="Times New Roman"/>
          <w:color w:val="auto"/>
          <w:sz w:val="24"/>
          <w:szCs w:val="24"/>
          <w:highlight w:val="none"/>
          <w:lang w:val="en-US" w:eastAsia="zh-CN"/>
        </w:rPr>
        <w:t>6</w:t>
      </w:r>
      <w:r>
        <w:rPr>
          <w:rFonts w:ascii="Times New Roman" w:hAnsi="Times New Roman"/>
          <w:color w:val="auto"/>
          <w:sz w:val="24"/>
          <w:szCs w:val="24"/>
          <w:highlight w:val="none"/>
        </w:rPr>
        <w:t>-1</w:t>
      </w:r>
      <w:r>
        <w:rPr>
          <w:rFonts w:hint="eastAsia" w:ascii="Times New Roman" w:hAnsi="Times New Roman"/>
          <w:color w:val="auto"/>
          <w:sz w:val="24"/>
          <w:szCs w:val="24"/>
          <w:highlight w:val="none"/>
        </w:rPr>
        <w:t>。</w:t>
      </w:r>
    </w:p>
    <w:p>
      <w:pPr>
        <w:widowControl/>
        <w:spacing w:line="360" w:lineRule="auto"/>
        <w:ind w:firstLine="420"/>
        <w:rPr>
          <w:color w:val="auto"/>
          <w:highlight w:val="none"/>
        </w:rPr>
      </w:pPr>
    </w:p>
    <w:p>
      <w:pPr>
        <w:widowControl/>
        <w:spacing w:line="360" w:lineRule="auto"/>
        <w:ind w:firstLine="420"/>
        <w:rPr>
          <w:color w:val="auto"/>
          <w:highlight w:val="none"/>
        </w:rPr>
      </w:pPr>
    </w:p>
    <w:p>
      <w:pPr>
        <w:widowControl/>
        <w:spacing w:line="360" w:lineRule="auto"/>
        <w:ind w:firstLine="420"/>
        <w:rPr>
          <w:color w:val="auto"/>
          <w:highlight w:val="none"/>
        </w:rPr>
      </w:pPr>
    </w:p>
    <w:p>
      <w:pPr>
        <w:widowControl/>
        <w:spacing w:line="360" w:lineRule="auto"/>
        <w:ind w:firstLine="420"/>
        <w:rPr>
          <w:rFonts w:ascii="Times New Roman" w:hAnsi="Times New Roman"/>
          <w:color w:val="auto"/>
          <w:sz w:val="24"/>
          <w:szCs w:val="24"/>
          <w:highlight w:val="none"/>
        </w:rPr>
      </w:pPr>
      <w:r>
        <w:rPr>
          <w:color w:val="auto"/>
          <w:highlight w:val="none"/>
        </w:rPr>
        <w:drawing>
          <wp:inline distT="0" distB="0" distL="0" distR="0">
            <wp:extent cx="6129655" cy="3732530"/>
            <wp:effectExtent l="0" t="0" r="4445"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a:srcRect l="7521" t="8543" r="13557" b="6207"/>
                    <a:stretch>
                      <a:fillRect/>
                    </a:stretch>
                  </pic:blipFill>
                  <pic:spPr>
                    <a:xfrm>
                      <a:off x="0" y="0"/>
                      <a:ext cx="6129655" cy="3732530"/>
                    </a:xfrm>
                    <a:prstGeom prst="rect">
                      <a:avLst/>
                    </a:prstGeom>
                  </pic:spPr>
                </pic:pic>
              </a:graphicData>
            </a:graphic>
          </wp:inline>
        </w:drawing>
      </w:r>
    </w:p>
    <w:p>
      <w:pPr>
        <w:widowControl/>
        <w:spacing w:line="360" w:lineRule="auto"/>
        <w:ind w:firstLine="420"/>
        <w:jc w:val="center"/>
        <w:rPr>
          <w:rFonts w:ascii="Times New Roman" w:hAnsi="Times New Roman"/>
          <w:color w:val="auto"/>
          <w:sz w:val="24"/>
          <w:szCs w:val="24"/>
          <w:highlight w:val="none"/>
        </w:rPr>
      </w:pPr>
      <w:r>
        <w:rPr>
          <w:rFonts w:hint="eastAsia" w:ascii="Times New Roman" w:hAnsi="Times New Roman"/>
          <w:color w:val="auto"/>
          <w:sz w:val="24"/>
          <w:szCs w:val="24"/>
          <w:highlight w:val="none"/>
        </w:rPr>
        <w:t>图5</w:t>
      </w:r>
      <w:r>
        <w:rPr>
          <w:rFonts w:ascii="Times New Roman" w:hAnsi="Times New Roman"/>
          <w:color w:val="auto"/>
          <w:sz w:val="24"/>
          <w:szCs w:val="24"/>
          <w:highlight w:val="none"/>
        </w:rPr>
        <w:t>.1.</w:t>
      </w:r>
      <w:r>
        <w:rPr>
          <w:rFonts w:hint="eastAsia" w:ascii="Times New Roman" w:hAnsi="Times New Roman"/>
          <w:color w:val="auto"/>
          <w:sz w:val="24"/>
          <w:szCs w:val="24"/>
          <w:highlight w:val="none"/>
          <w:lang w:val="en-US" w:eastAsia="zh-CN"/>
        </w:rPr>
        <w:t>6</w:t>
      </w:r>
      <w:r>
        <w:rPr>
          <w:rFonts w:ascii="Times New Roman" w:hAnsi="Times New Roman"/>
          <w:color w:val="auto"/>
          <w:sz w:val="24"/>
          <w:szCs w:val="24"/>
          <w:highlight w:val="none"/>
        </w:rPr>
        <w:t>-1</w:t>
      </w:r>
      <w:r>
        <w:rPr>
          <w:rFonts w:hint="eastAsia" w:ascii="Times New Roman" w:hAnsi="Times New Roman"/>
          <w:color w:val="auto"/>
          <w:sz w:val="24"/>
          <w:szCs w:val="24"/>
          <w:highlight w:val="none"/>
        </w:rPr>
        <w:t>门窗洞口保温构造节点</w:t>
      </w:r>
    </w:p>
    <w:p>
      <w:pPr>
        <w:widowControl/>
        <w:spacing w:line="360" w:lineRule="auto"/>
        <w:ind w:firstLine="420"/>
        <w:rPr>
          <w:rFonts w:hint="eastAsia" w:ascii="Times New Roman" w:hAnsi="Times New Roman" w:eastAsia="宋体"/>
          <w:color w:val="auto"/>
          <w:sz w:val="24"/>
          <w:szCs w:val="24"/>
          <w:highlight w:val="none"/>
          <w:lang w:eastAsia="zh-CN"/>
        </w:rPr>
      </w:pPr>
      <w:r>
        <w:rPr>
          <w:rFonts w:ascii="Times New Roman" w:hAnsi="Times New Roman"/>
          <w:color w:val="auto"/>
          <w:sz w:val="24"/>
          <w:szCs w:val="24"/>
          <w:highlight w:val="none"/>
        </w:rPr>
        <w:t>3</w:t>
      </w:r>
      <w:r>
        <w:rPr>
          <w:rFonts w:hint="eastAsia" w:ascii="Times New Roman" w:hAnsi="Times New Roman"/>
          <w:color w:val="auto"/>
          <w:sz w:val="24"/>
          <w:szCs w:val="24"/>
          <w:highlight w:val="none"/>
        </w:rPr>
        <w:t>在门窗润口、</w:t>
      </w:r>
      <w:r>
        <w:rPr>
          <w:rFonts w:hint="eastAsia" w:asciiTheme="minorEastAsia" w:hAnsiTheme="minorEastAsia"/>
          <w:color w:val="auto"/>
          <w:sz w:val="24"/>
          <w:szCs w:val="24"/>
          <w:highlight w:val="none"/>
        </w:rPr>
        <w:t>外墙阴阳角、</w:t>
      </w:r>
      <w:r>
        <w:rPr>
          <w:rFonts w:hint="eastAsia" w:ascii="Times New Roman" w:hAnsi="Times New Roman"/>
          <w:color w:val="auto"/>
          <w:sz w:val="24"/>
          <w:szCs w:val="24"/>
          <w:highlight w:val="none"/>
        </w:rPr>
        <w:t>电器盒四周对角线方向，应斜向加铺不小于400mm×200mm玻璃纤维网布,示意图见图5.1.</w:t>
      </w:r>
      <w:r>
        <w:rPr>
          <w:rFonts w:hint="eastAsia" w:ascii="Times New Roman" w:hAnsi="Times New Roman"/>
          <w:color w:val="auto"/>
          <w:sz w:val="24"/>
          <w:szCs w:val="24"/>
          <w:highlight w:val="none"/>
          <w:lang w:val="en-US" w:eastAsia="zh-CN"/>
        </w:rPr>
        <w:t>6-</w:t>
      </w:r>
      <w:r>
        <w:rPr>
          <w:rFonts w:ascii="Times New Roman" w:hAnsi="Times New Roman"/>
          <w:color w:val="auto"/>
          <w:sz w:val="24"/>
          <w:szCs w:val="24"/>
          <w:highlight w:val="none"/>
        </w:rPr>
        <w:t>2</w:t>
      </w:r>
      <w:r>
        <w:rPr>
          <w:rFonts w:hint="eastAsia" w:ascii="Times New Roman" w:hAnsi="Times New Roman"/>
          <w:color w:val="auto"/>
          <w:sz w:val="24"/>
          <w:szCs w:val="24"/>
          <w:highlight w:val="none"/>
          <w:lang w:eastAsia="zh-CN"/>
        </w:rPr>
        <w:t>。</w:t>
      </w:r>
    </w:p>
    <w:p>
      <w:pPr>
        <w:widowControl/>
        <w:spacing w:line="360" w:lineRule="auto"/>
        <w:ind w:firstLine="420"/>
        <w:rPr>
          <w:color w:val="auto"/>
          <w:highlight w:val="none"/>
        </w:rPr>
      </w:pPr>
    </w:p>
    <w:p>
      <w:pPr>
        <w:widowControl/>
        <w:spacing w:line="360" w:lineRule="auto"/>
        <w:ind w:firstLine="420"/>
        <w:rPr>
          <w:color w:val="auto"/>
          <w:highlight w:val="none"/>
        </w:rPr>
      </w:pPr>
    </w:p>
    <w:p>
      <w:pPr>
        <w:widowControl/>
        <w:spacing w:line="360" w:lineRule="auto"/>
        <w:ind w:firstLine="420"/>
        <w:rPr>
          <w:rFonts w:ascii="Times New Roman" w:hAnsi="Times New Roman"/>
          <w:color w:val="auto"/>
          <w:sz w:val="24"/>
          <w:szCs w:val="24"/>
          <w:highlight w:val="none"/>
        </w:rPr>
      </w:pPr>
      <w:r>
        <w:rPr>
          <w:color w:val="auto"/>
          <w:highlight w:val="none"/>
        </w:rPr>
        <w:drawing>
          <wp:inline distT="0" distB="0" distL="0" distR="0">
            <wp:extent cx="5987415" cy="267144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a:srcRect t="503" r="23326" b="14772"/>
                    <a:stretch>
                      <a:fillRect/>
                    </a:stretch>
                  </pic:blipFill>
                  <pic:spPr>
                    <a:xfrm>
                      <a:off x="0" y="0"/>
                      <a:ext cx="5987415" cy="2671445"/>
                    </a:xfrm>
                    <a:prstGeom prst="rect">
                      <a:avLst/>
                    </a:prstGeom>
                  </pic:spPr>
                </pic:pic>
              </a:graphicData>
            </a:graphic>
          </wp:inline>
        </w:drawing>
      </w:r>
    </w:p>
    <w:p>
      <w:pPr>
        <w:widowControl/>
        <w:spacing w:line="360" w:lineRule="auto"/>
        <w:ind w:firstLine="420"/>
        <w:jc w:val="center"/>
        <w:rPr>
          <w:rFonts w:ascii="Times New Roman" w:hAnsi="Times New Roman"/>
          <w:color w:val="auto"/>
          <w:sz w:val="24"/>
          <w:szCs w:val="24"/>
          <w:highlight w:val="none"/>
        </w:rPr>
      </w:pPr>
      <w:r>
        <w:rPr>
          <w:rFonts w:hint="eastAsia" w:ascii="Times New Roman" w:hAnsi="Times New Roman"/>
          <w:color w:val="auto"/>
          <w:sz w:val="24"/>
          <w:szCs w:val="24"/>
          <w:highlight w:val="none"/>
        </w:rPr>
        <w:t>图5</w:t>
      </w:r>
      <w:r>
        <w:rPr>
          <w:rFonts w:ascii="Times New Roman" w:hAnsi="Times New Roman"/>
          <w:color w:val="auto"/>
          <w:sz w:val="24"/>
          <w:szCs w:val="24"/>
          <w:highlight w:val="none"/>
        </w:rPr>
        <w:t>.1.</w:t>
      </w:r>
      <w:r>
        <w:rPr>
          <w:rFonts w:hint="eastAsia" w:ascii="Times New Roman" w:hAnsi="Times New Roman"/>
          <w:color w:val="auto"/>
          <w:sz w:val="24"/>
          <w:szCs w:val="24"/>
          <w:highlight w:val="none"/>
          <w:lang w:val="en-US" w:eastAsia="zh-CN"/>
        </w:rPr>
        <w:t>6</w:t>
      </w:r>
      <w:r>
        <w:rPr>
          <w:rFonts w:ascii="Times New Roman" w:hAnsi="Times New Roman"/>
          <w:color w:val="auto"/>
          <w:sz w:val="24"/>
          <w:szCs w:val="24"/>
          <w:highlight w:val="none"/>
        </w:rPr>
        <w:t>-</w:t>
      </w:r>
      <w:r>
        <w:rPr>
          <w:rFonts w:hint="eastAsia" w:ascii="Times New Roman" w:hAnsi="Times New Roman"/>
          <w:color w:val="auto"/>
          <w:sz w:val="24"/>
          <w:szCs w:val="24"/>
          <w:highlight w:val="none"/>
        </w:rPr>
        <w:t>2门窗洞口四角附加增强网布</w:t>
      </w:r>
    </w:p>
    <w:p>
      <w:pPr>
        <w:widowControl/>
        <w:spacing w:line="360" w:lineRule="auto"/>
        <w:rPr>
          <w:rFonts w:ascii="楷体" w:hAnsi="楷体" w:eastAsia="楷体"/>
          <w:color w:val="auto"/>
          <w:sz w:val="24"/>
          <w:szCs w:val="24"/>
          <w:highlight w:val="none"/>
        </w:rPr>
      </w:pPr>
      <w:r>
        <w:rPr>
          <w:rFonts w:hint="eastAsia" w:ascii="楷体" w:hAnsi="楷体" w:eastAsia="楷体"/>
          <w:color w:val="auto"/>
          <w:sz w:val="24"/>
          <w:szCs w:val="24"/>
          <w:highlight w:val="none"/>
        </w:rPr>
        <w:t>【条文说明】</w:t>
      </w:r>
      <w:r>
        <w:rPr>
          <w:rFonts w:hint="eastAsia" w:ascii="楷体" w:hAnsi="楷体" w:eastAsia="楷体"/>
          <w:color w:val="auto"/>
          <w:sz w:val="24"/>
          <w:szCs w:val="24"/>
          <w:highlight w:val="none"/>
          <w:lang w:val="en-US" w:eastAsia="zh-CN"/>
        </w:rPr>
        <w:t>5.1.6</w:t>
      </w:r>
      <w:r>
        <w:rPr>
          <w:rFonts w:hint="eastAsia" w:ascii="楷体" w:hAnsi="楷体" w:eastAsia="楷体"/>
          <w:color w:val="auto"/>
          <w:sz w:val="24"/>
          <w:szCs w:val="24"/>
          <w:highlight w:val="none"/>
        </w:rPr>
        <w:t>室内采用节能型轻质抹灰砂浆时，应与复合板保温层连续，门窗洞口四周室外侧敷设防水砂浆和节能型轻质抹灰砂浆，外侧窗台安装披水板。</w:t>
      </w:r>
    </w:p>
    <w:p>
      <w:pPr>
        <w:widowControl/>
        <w:spacing w:line="360" w:lineRule="auto"/>
        <w:rPr>
          <w:rFonts w:ascii="楷体" w:hAnsi="楷体" w:eastAsia="楷体"/>
          <w:color w:val="auto"/>
          <w:sz w:val="24"/>
          <w:szCs w:val="24"/>
          <w:highlight w:val="none"/>
        </w:rPr>
      </w:pPr>
      <w:r>
        <w:rPr>
          <w:rFonts w:hint="eastAsia" w:ascii="楷体" w:hAnsi="楷体" w:eastAsia="楷体"/>
          <w:color w:val="auto"/>
          <w:sz w:val="24"/>
          <w:szCs w:val="24"/>
          <w:highlight w:val="none"/>
        </w:rPr>
        <w:t>门窗洞口四角等处设置局部增强网，防止墙体开裂;外门窗洞口为热桥部位，其内侧面应设置保温层。计算砂浆厚度及最不利保温材料的最小保温厚度，以满足夏季隔热内表面温度，满足结露验算内表面温度。保温层厚度视门窗构造与安装情况而定，但不宜小于20mm。</w:t>
      </w:r>
    </w:p>
    <w:p>
      <w:pPr>
        <w:rPr>
          <w:rFonts w:ascii="Times New Roman" w:hAnsi="Times New Roman"/>
          <w:color w:val="auto"/>
          <w:sz w:val="24"/>
          <w:szCs w:val="24"/>
          <w:highlight w:val="none"/>
        </w:rPr>
      </w:pPr>
      <w:bookmarkStart w:id="197" w:name="_Toc524349283"/>
      <w:bookmarkStart w:id="198" w:name="_Toc481"/>
      <w:bookmarkStart w:id="199" w:name="_Toc6395478"/>
    </w:p>
    <w:p>
      <w:pPr>
        <w:pStyle w:val="5"/>
        <w:bidi w:val="0"/>
        <w:rPr>
          <w:rFonts w:asciiTheme="majorEastAsia" w:hAnsiTheme="majorEastAsia" w:eastAsiaTheme="majorEastAsia"/>
          <w:color w:val="auto"/>
          <w:sz w:val="24"/>
          <w:szCs w:val="24"/>
          <w:highlight w:val="none"/>
        </w:rPr>
      </w:pPr>
      <w:bookmarkStart w:id="200" w:name="_Toc4193"/>
      <w:bookmarkStart w:id="201" w:name="_Toc29196"/>
      <w:bookmarkStart w:id="202" w:name="_Toc18888"/>
      <w:bookmarkStart w:id="203" w:name="_Toc4978"/>
      <w:r>
        <w:rPr>
          <w:color w:val="auto"/>
          <w:highlight w:val="none"/>
        </w:rPr>
        <w:t>5.2系统</w:t>
      </w:r>
      <w:r>
        <w:rPr>
          <w:rFonts w:hint="eastAsia"/>
          <w:color w:val="auto"/>
          <w:highlight w:val="none"/>
        </w:rPr>
        <w:t>构造设计</w:t>
      </w:r>
      <w:bookmarkEnd w:id="192"/>
      <w:bookmarkEnd w:id="193"/>
      <w:bookmarkEnd w:id="194"/>
      <w:bookmarkEnd w:id="195"/>
      <w:bookmarkEnd w:id="197"/>
      <w:bookmarkEnd w:id="198"/>
      <w:bookmarkEnd w:id="199"/>
      <w:bookmarkEnd w:id="200"/>
      <w:bookmarkEnd w:id="201"/>
      <w:bookmarkEnd w:id="202"/>
      <w:bookmarkEnd w:id="203"/>
      <w:bookmarkStart w:id="204" w:name="_Toc17126"/>
    </w:p>
    <w:p>
      <w:pPr>
        <w:spacing w:line="360" w:lineRule="auto"/>
        <w:outlineLvl w:val="2"/>
        <w:rPr>
          <w:rFonts w:asciiTheme="majorEastAsia" w:hAnsiTheme="majorEastAsia" w:eastAsiaTheme="majorEastAsia"/>
          <w:color w:val="auto"/>
          <w:sz w:val="24"/>
          <w:szCs w:val="24"/>
          <w:highlight w:val="none"/>
        </w:rPr>
      </w:pPr>
      <w:r>
        <w:rPr>
          <w:rFonts w:asciiTheme="majorEastAsia" w:hAnsiTheme="majorEastAsia" w:eastAsiaTheme="majorEastAsia"/>
          <w:color w:val="auto"/>
          <w:sz w:val="24"/>
          <w:szCs w:val="24"/>
          <w:highlight w:val="none"/>
        </w:rPr>
        <w:t xml:space="preserve">5.2.1 </w:t>
      </w:r>
      <w:r>
        <w:rPr>
          <w:rFonts w:hint="eastAsia" w:asciiTheme="majorEastAsia" w:hAnsiTheme="majorEastAsia" w:eastAsiaTheme="majorEastAsia"/>
          <w:color w:val="auto"/>
          <w:sz w:val="24"/>
          <w:szCs w:val="24"/>
          <w:highlight w:val="none"/>
        </w:rPr>
        <w:t>内保温复合板系统基本构造应分别符合表</w:t>
      </w:r>
      <w:r>
        <w:rPr>
          <w:rFonts w:asciiTheme="majorEastAsia" w:hAnsiTheme="majorEastAsia" w:eastAsiaTheme="majorEastAsia"/>
          <w:color w:val="auto"/>
          <w:sz w:val="24"/>
          <w:szCs w:val="24"/>
          <w:highlight w:val="none"/>
        </w:rPr>
        <w:t>5.2.</w:t>
      </w:r>
      <w:r>
        <w:rPr>
          <w:rFonts w:hint="eastAsia" w:asciiTheme="majorEastAsia" w:hAnsiTheme="majorEastAsia" w:eastAsiaTheme="majorEastAsia"/>
          <w:color w:val="auto"/>
          <w:sz w:val="24"/>
          <w:szCs w:val="24"/>
          <w:highlight w:val="none"/>
          <w:lang w:val="en-US" w:eastAsia="zh-CN"/>
        </w:rPr>
        <w:t>1</w:t>
      </w:r>
      <w:r>
        <w:rPr>
          <w:rFonts w:hint="eastAsia" w:asciiTheme="majorEastAsia" w:hAnsiTheme="majorEastAsia" w:eastAsiaTheme="majorEastAsia"/>
          <w:color w:val="auto"/>
          <w:sz w:val="24"/>
          <w:szCs w:val="24"/>
          <w:highlight w:val="none"/>
        </w:rPr>
        <w:t>的规定。</w:t>
      </w:r>
      <w:bookmarkEnd w:id="204"/>
    </w:p>
    <w:p>
      <w:pPr>
        <w:widowControl/>
        <w:spacing w:line="360" w:lineRule="auto"/>
        <w:jc w:val="center"/>
        <w:rPr>
          <w:rFonts w:ascii="Times New Roman" w:hAnsi="Times New Roman" w:eastAsia="黑体"/>
          <w:color w:val="auto"/>
          <w:szCs w:val="21"/>
          <w:highlight w:val="none"/>
        </w:rPr>
      </w:pPr>
      <w:r>
        <w:rPr>
          <w:rFonts w:hint="eastAsia" w:ascii="Times New Roman" w:hAnsi="Times New Roman" w:eastAsia="黑体"/>
          <w:color w:val="auto"/>
          <w:szCs w:val="21"/>
          <w:highlight w:val="none"/>
        </w:rPr>
        <w:t>表</w:t>
      </w:r>
      <w:r>
        <w:rPr>
          <w:rFonts w:ascii="Times New Roman" w:hAnsi="Times New Roman" w:eastAsia="黑体"/>
          <w:color w:val="auto"/>
          <w:szCs w:val="21"/>
          <w:highlight w:val="none"/>
        </w:rPr>
        <w:t>5.2.1</w:t>
      </w:r>
      <w:r>
        <w:rPr>
          <w:rFonts w:hint="eastAsia" w:ascii="Times New Roman" w:hAnsi="Times New Roman" w:eastAsia="黑体"/>
          <w:color w:val="auto"/>
          <w:szCs w:val="21"/>
          <w:highlight w:val="none"/>
        </w:rPr>
        <w:t>内保温复合</w:t>
      </w:r>
      <w:r>
        <w:rPr>
          <w:rFonts w:ascii="Times New Roman" w:hAnsi="Times New Roman" w:eastAsia="黑体"/>
          <w:color w:val="auto"/>
          <w:szCs w:val="21"/>
          <w:highlight w:val="none"/>
        </w:rPr>
        <w:t>板</w:t>
      </w:r>
      <w:r>
        <w:rPr>
          <w:rFonts w:hint="eastAsia" w:ascii="Times New Roman" w:hAnsi="Times New Roman" w:eastAsia="黑体"/>
          <w:color w:val="auto"/>
          <w:szCs w:val="21"/>
          <w:highlight w:val="none"/>
        </w:rPr>
        <w:t>系统基本构造</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2"/>
        <w:gridCol w:w="689"/>
        <w:gridCol w:w="980"/>
        <w:gridCol w:w="1268"/>
        <w:gridCol w:w="1126"/>
        <w:gridCol w:w="1272"/>
        <w:gridCol w:w="2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9" w:hRule="atLeast"/>
        </w:trPr>
        <w:tc>
          <w:tcPr>
            <w:tcW w:w="526" w:type="pct"/>
            <w:vMerge w:val="restart"/>
            <w:vAlign w:val="center"/>
          </w:tcPr>
          <w:p>
            <w:pPr>
              <w:spacing w:before="156" w:beforeLines="50"/>
              <w:jc w:val="center"/>
              <w:rPr>
                <w:rFonts w:ascii="Times New Roman" w:hAnsi="Times New Roman"/>
                <w:color w:val="auto"/>
                <w:szCs w:val="21"/>
                <w:highlight w:val="none"/>
              </w:rPr>
            </w:pPr>
            <w:r>
              <w:rPr>
                <w:rFonts w:hint="eastAsia" w:ascii="Times New Roman" w:hAnsi="Times New Roman"/>
                <w:color w:val="auto"/>
                <w:szCs w:val="21"/>
                <w:highlight w:val="none"/>
              </w:rPr>
              <w:t>基层</w:t>
            </w:r>
          </w:p>
          <w:p>
            <w:pPr>
              <w:spacing w:before="156" w:beforeLines="50"/>
              <w:jc w:val="center"/>
              <w:rPr>
                <w:rFonts w:ascii="Times New Roman" w:hAnsi="Times New Roman"/>
                <w:color w:val="auto"/>
                <w:sz w:val="24"/>
                <w:szCs w:val="21"/>
                <w:highlight w:val="none"/>
              </w:rPr>
            </w:pPr>
            <w:r>
              <w:rPr>
                <w:rFonts w:hint="eastAsia" w:ascii="宋体" w:hAnsi="宋体" w:cs="宋体"/>
                <w:color w:val="auto"/>
                <w:sz w:val="24"/>
                <w:szCs w:val="21"/>
                <w:highlight w:val="none"/>
              </w:rPr>
              <w:t>①</w:t>
            </w:r>
          </w:p>
        </w:tc>
        <w:tc>
          <w:tcPr>
            <w:tcW w:w="373" w:type="pct"/>
            <w:vMerge w:val="restart"/>
            <w:vAlign w:val="center"/>
          </w:tcPr>
          <w:p>
            <w:pPr>
              <w:spacing w:before="156" w:beforeLines="50"/>
              <w:jc w:val="center"/>
              <w:rPr>
                <w:rFonts w:ascii="Times New Roman" w:hAnsi="Times New Roman"/>
                <w:color w:val="auto"/>
                <w:sz w:val="24"/>
                <w:szCs w:val="21"/>
                <w:highlight w:val="none"/>
              </w:rPr>
            </w:pPr>
            <w:r>
              <w:rPr>
                <w:rFonts w:hint="eastAsia" w:ascii="Times New Roman" w:hAnsi="Times New Roman"/>
                <w:color w:val="auto"/>
                <w:szCs w:val="21"/>
                <w:highlight w:val="none"/>
              </w:rPr>
              <w:t>找平层</w:t>
            </w:r>
            <w:r>
              <w:rPr>
                <w:rFonts w:hint="eastAsia" w:ascii="宋体" w:hAnsi="宋体" w:cs="宋体"/>
                <w:color w:val="auto"/>
                <w:sz w:val="24"/>
                <w:szCs w:val="21"/>
                <w:highlight w:val="none"/>
              </w:rPr>
              <w:t>②</w:t>
            </w:r>
          </w:p>
        </w:tc>
        <w:tc>
          <w:tcPr>
            <w:tcW w:w="2513" w:type="pct"/>
            <w:gridSpan w:val="4"/>
            <w:vAlign w:val="center"/>
          </w:tcPr>
          <w:p>
            <w:pPr>
              <w:spacing w:before="156" w:beforeLines="50"/>
              <w:jc w:val="center"/>
              <w:rPr>
                <w:rFonts w:ascii="Times New Roman" w:hAnsi="Times New Roman"/>
                <w:color w:val="auto"/>
                <w:szCs w:val="21"/>
                <w:highlight w:val="none"/>
              </w:rPr>
            </w:pPr>
            <w:r>
              <w:rPr>
                <w:rFonts w:hint="eastAsia" w:ascii="Times New Roman" w:hAnsi="Times New Roman"/>
                <w:color w:val="auto"/>
                <w:szCs w:val="21"/>
                <w:highlight w:val="none"/>
              </w:rPr>
              <w:t>系统基本构造</w:t>
            </w:r>
          </w:p>
        </w:tc>
        <w:tc>
          <w:tcPr>
            <w:tcW w:w="1588" w:type="pct"/>
            <w:vAlign w:val="center"/>
          </w:tcPr>
          <w:p>
            <w:pPr>
              <w:widowControl/>
              <w:spacing w:before="156" w:beforeLines="50"/>
              <w:jc w:val="center"/>
              <w:rPr>
                <w:rFonts w:ascii="Times New Roman" w:hAnsi="Times New Roman"/>
                <w:color w:val="auto"/>
                <w:szCs w:val="21"/>
                <w:highlight w:val="none"/>
              </w:rPr>
            </w:pPr>
            <w:r>
              <w:rPr>
                <w:rFonts w:hint="eastAsia" w:ascii="Times New Roman" w:hAnsi="Times New Roman"/>
                <w:color w:val="auto"/>
                <w:szCs w:val="21"/>
                <w:highlight w:val="none"/>
              </w:rPr>
              <w:t>构造示意图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526" w:type="pct"/>
            <w:vMerge w:val="continue"/>
            <w:vAlign w:val="center"/>
          </w:tcPr>
          <w:p>
            <w:pPr>
              <w:jc w:val="center"/>
              <w:rPr>
                <w:rFonts w:ascii="Times New Roman" w:hAnsi="Times New Roman"/>
                <w:color w:val="auto"/>
                <w:sz w:val="24"/>
                <w:szCs w:val="21"/>
                <w:highlight w:val="none"/>
              </w:rPr>
            </w:pPr>
          </w:p>
        </w:tc>
        <w:tc>
          <w:tcPr>
            <w:tcW w:w="373" w:type="pct"/>
            <w:vMerge w:val="continue"/>
            <w:vAlign w:val="center"/>
          </w:tcPr>
          <w:p>
            <w:pPr>
              <w:jc w:val="center"/>
              <w:rPr>
                <w:rFonts w:ascii="Times New Roman" w:hAnsi="Times New Roman"/>
                <w:color w:val="auto"/>
                <w:sz w:val="24"/>
                <w:szCs w:val="21"/>
                <w:highlight w:val="none"/>
              </w:rPr>
            </w:pPr>
          </w:p>
        </w:tc>
        <w:tc>
          <w:tcPr>
            <w:tcW w:w="530" w:type="pct"/>
            <w:vMerge w:val="restart"/>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rPr>
              <w:t>粘结层</w:t>
            </w:r>
          </w:p>
          <w:p>
            <w:pPr>
              <w:jc w:val="center"/>
              <w:rPr>
                <w:rFonts w:ascii="Times New Roman" w:hAnsi="Times New Roman"/>
                <w:color w:val="auto"/>
                <w:sz w:val="24"/>
                <w:szCs w:val="21"/>
                <w:highlight w:val="none"/>
              </w:rPr>
            </w:pPr>
            <w:r>
              <w:rPr>
                <w:rFonts w:hint="eastAsia" w:ascii="宋体" w:hAnsi="宋体" w:cs="宋体"/>
                <w:color w:val="auto"/>
                <w:sz w:val="24"/>
                <w:szCs w:val="21"/>
                <w:highlight w:val="none"/>
              </w:rPr>
              <w:t>③</w:t>
            </w:r>
          </w:p>
        </w:tc>
        <w:tc>
          <w:tcPr>
            <w:tcW w:w="1295" w:type="pct"/>
            <w:gridSpan w:val="2"/>
            <w:vAlign w:val="center"/>
          </w:tcPr>
          <w:p>
            <w:pPr>
              <w:jc w:val="center"/>
              <w:rPr>
                <w:rFonts w:ascii="Times New Roman" w:hAnsi="Times New Roman"/>
                <w:color w:val="auto"/>
                <w:sz w:val="24"/>
                <w:szCs w:val="21"/>
                <w:highlight w:val="none"/>
              </w:rPr>
            </w:pPr>
            <w:r>
              <w:rPr>
                <w:rFonts w:hint="eastAsia" w:ascii="Times New Roman" w:hAnsi="Times New Roman"/>
                <w:color w:val="auto"/>
                <w:szCs w:val="21"/>
                <w:highlight w:val="none"/>
              </w:rPr>
              <w:t>复合板</w:t>
            </w:r>
            <w:r>
              <w:rPr>
                <w:rFonts w:hint="eastAsia" w:ascii="宋体" w:hAnsi="宋体" w:cs="宋体"/>
                <w:color w:val="auto"/>
                <w:sz w:val="24"/>
                <w:szCs w:val="21"/>
                <w:highlight w:val="none"/>
              </w:rPr>
              <w:t>④</w:t>
            </w:r>
          </w:p>
        </w:tc>
        <w:tc>
          <w:tcPr>
            <w:tcW w:w="688" w:type="pct"/>
            <w:vMerge w:val="restart"/>
            <w:vAlign w:val="center"/>
          </w:tcPr>
          <w:p>
            <w:pPr>
              <w:jc w:val="center"/>
              <w:rPr>
                <w:rFonts w:ascii="Times New Roman" w:hAnsi="Times New Roman"/>
                <w:color w:val="auto"/>
                <w:szCs w:val="21"/>
                <w:highlight w:val="none"/>
              </w:rPr>
            </w:pPr>
            <w:r>
              <w:rPr>
                <w:rFonts w:hint="eastAsia" w:ascii="Times New Roman" w:hAnsi="Times New Roman"/>
                <w:color w:val="auto"/>
                <w:szCs w:val="21"/>
                <w:highlight w:val="none"/>
              </w:rPr>
              <w:t>饰面层</w:t>
            </w:r>
          </w:p>
          <w:p>
            <w:pPr>
              <w:jc w:val="center"/>
              <w:rPr>
                <w:rFonts w:ascii="Times New Roman" w:hAnsi="Times New Roman"/>
                <w:color w:val="auto"/>
                <w:sz w:val="24"/>
                <w:szCs w:val="21"/>
                <w:highlight w:val="none"/>
              </w:rPr>
            </w:pPr>
            <w:r>
              <w:rPr>
                <w:rFonts w:hint="eastAsia" w:ascii="宋体" w:hAnsi="宋体" w:cs="宋体"/>
                <w:color w:val="auto"/>
                <w:sz w:val="24"/>
                <w:szCs w:val="21"/>
                <w:highlight w:val="none"/>
              </w:rPr>
              <w:t>⑤</w:t>
            </w:r>
          </w:p>
        </w:tc>
        <w:tc>
          <w:tcPr>
            <w:tcW w:w="1588" w:type="pct"/>
            <w:vMerge w:val="restart"/>
            <w:vAlign w:val="center"/>
          </w:tcPr>
          <w:p>
            <w:pPr>
              <w:rPr>
                <w:rFonts w:ascii="Times New Roman" w:hAnsi="Times New Roman"/>
                <w:b/>
                <w:color w:val="auto"/>
                <w:sz w:val="24"/>
                <w:szCs w:val="21"/>
                <w:highlight w:val="none"/>
              </w:rPr>
            </w:pPr>
            <w:r>
              <w:rPr>
                <w:rFonts w:ascii="Times New Roman" w:hAnsi="Times New Roman"/>
                <w:color w:val="auto"/>
                <w:sz w:val="24"/>
                <w:highlight w:val="none"/>
              </w:rPr>
              <w:drawing>
                <wp:anchor distT="0" distB="0" distL="114300" distR="114300" simplePos="0" relativeHeight="251659264" behindDoc="0" locked="0" layoutInCell="1" allowOverlap="1">
                  <wp:simplePos x="0" y="0"/>
                  <wp:positionH relativeFrom="column">
                    <wp:posOffset>109220</wp:posOffset>
                  </wp:positionH>
                  <wp:positionV relativeFrom="paragraph">
                    <wp:posOffset>24130</wp:posOffset>
                  </wp:positionV>
                  <wp:extent cx="1447165" cy="1638300"/>
                  <wp:effectExtent l="0" t="0" r="635"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47165" cy="163830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4" w:hRule="atLeast"/>
        </w:trPr>
        <w:tc>
          <w:tcPr>
            <w:tcW w:w="526" w:type="pct"/>
            <w:vMerge w:val="continue"/>
            <w:vAlign w:val="center"/>
          </w:tcPr>
          <w:p>
            <w:pPr>
              <w:jc w:val="center"/>
              <w:rPr>
                <w:rFonts w:ascii="Times New Roman" w:hAnsi="Times New Roman"/>
                <w:color w:val="auto"/>
                <w:sz w:val="24"/>
                <w:highlight w:val="none"/>
              </w:rPr>
            </w:pPr>
          </w:p>
        </w:tc>
        <w:tc>
          <w:tcPr>
            <w:tcW w:w="373" w:type="pct"/>
            <w:vMerge w:val="continue"/>
            <w:vAlign w:val="center"/>
          </w:tcPr>
          <w:p>
            <w:pPr>
              <w:jc w:val="center"/>
              <w:rPr>
                <w:rFonts w:ascii="Times New Roman" w:hAnsi="Times New Roman"/>
                <w:color w:val="auto"/>
                <w:sz w:val="24"/>
                <w:highlight w:val="none"/>
              </w:rPr>
            </w:pPr>
          </w:p>
        </w:tc>
        <w:tc>
          <w:tcPr>
            <w:tcW w:w="530" w:type="pct"/>
            <w:vMerge w:val="continue"/>
            <w:vAlign w:val="center"/>
          </w:tcPr>
          <w:p>
            <w:pPr>
              <w:jc w:val="center"/>
              <w:rPr>
                <w:rFonts w:ascii="Times New Roman" w:hAnsi="Times New Roman"/>
                <w:color w:val="auto"/>
                <w:sz w:val="24"/>
                <w:highlight w:val="none"/>
              </w:rPr>
            </w:pPr>
          </w:p>
        </w:tc>
        <w:tc>
          <w:tcPr>
            <w:tcW w:w="686" w:type="pct"/>
          </w:tcPr>
          <w:p>
            <w:pPr>
              <w:jc w:val="center"/>
              <w:rPr>
                <w:rFonts w:ascii="Times New Roman" w:hAnsi="Times New Roman"/>
                <w:color w:val="auto"/>
                <w:szCs w:val="21"/>
                <w:highlight w:val="none"/>
              </w:rPr>
            </w:pPr>
            <w:r>
              <w:rPr>
                <w:rFonts w:hint="eastAsia" w:ascii="Times New Roman" w:hAnsi="Times New Roman"/>
                <w:color w:val="auto"/>
                <w:szCs w:val="21"/>
                <w:highlight w:val="none"/>
              </w:rPr>
              <w:t>保温层</w:t>
            </w:r>
          </w:p>
        </w:tc>
        <w:tc>
          <w:tcPr>
            <w:tcW w:w="609" w:type="pct"/>
          </w:tcPr>
          <w:p>
            <w:pPr>
              <w:jc w:val="center"/>
              <w:rPr>
                <w:rFonts w:ascii="Times New Roman" w:hAnsi="Times New Roman"/>
                <w:color w:val="auto"/>
                <w:szCs w:val="21"/>
                <w:highlight w:val="none"/>
              </w:rPr>
            </w:pPr>
            <w:r>
              <w:rPr>
                <w:rFonts w:hint="eastAsia" w:ascii="Times New Roman" w:hAnsi="Times New Roman"/>
                <w:color w:val="auto"/>
                <w:szCs w:val="21"/>
                <w:highlight w:val="none"/>
              </w:rPr>
              <w:t>面板</w:t>
            </w:r>
          </w:p>
        </w:tc>
        <w:tc>
          <w:tcPr>
            <w:tcW w:w="688" w:type="pct"/>
            <w:vMerge w:val="continue"/>
            <w:vAlign w:val="center"/>
          </w:tcPr>
          <w:p>
            <w:pPr>
              <w:jc w:val="center"/>
              <w:rPr>
                <w:rFonts w:ascii="Times New Roman" w:hAnsi="Times New Roman"/>
                <w:color w:val="auto"/>
                <w:sz w:val="24"/>
                <w:szCs w:val="21"/>
                <w:highlight w:val="none"/>
              </w:rPr>
            </w:pPr>
          </w:p>
        </w:tc>
        <w:tc>
          <w:tcPr>
            <w:tcW w:w="1588" w:type="pct"/>
            <w:vMerge w:val="continue"/>
            <w:vAlign w:val="center"/>
          </w:tcPr>
          <w:p>
            <w:pPr>
              <w:jc w:val="center"/>
              <w:rPr>
                <w:rFonts w:ascii="Times New Roman" w:hAnsi="Times New Roman"/>
                <w:color w:val="auto"/>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02" w:hRule="atLeast"/>
        </w:trPr>
        <w:tc>
          <w:tcPr>
            <w:tcW w:w="526" w:type="pct"/>
            <w:vAlign w:val="center"/>
          </w:tcPr>
          <w:p>
            <w:pPr>
              <w:jc w:val="left"/>
              <w:rPr>
                <w:rFonts w:ascii="Times New Roman" w:hAnsi="Times New Roman"/>
                <w:color w:val="auto"/>
                <w:szCs w:val="21"/>
                <w:highlight w:val="none"/>
              </w:rPr>
            </w:pPr>
            <w:r>
              <w:rPr>
                <w:rFonts w:hint="eastAsia" w:ascii="Times New Roman" w:hAnsi="Times New Roman"/>
                <w:color w:val="auto"/>
                <w:szCs w:val="21"/>
                <w:highlight w:val="none"/>
              </w:rPr>
              <w:t>混凝土墙、砌体墙</w:t>
            </w:r>
          </w:p>
        </w:tc>
        <w:tc>
          <w:tcPr>
            <w:tcW w:w="373" w:type="pct"/>
            <w:vAlign w:val="center"/>
          </w:tcPr>
          <w:p>
            <w:pPr>
              <w:jc w:val="center"/>
              <w:rPr>
                <w:rFonts w:ascii="Times New Roman" w:hAnsi="Times New Roman"/>
                <w:color w:val="auto"/>
                <w:szCs w:val="21"/>
                <w:highlight w:val="none"/>
              </w:rPr>
            </w:pPr>
            <w:r>
              <w:rPr>
                <w:rFonts w:hint="eastAsia" w:ascii="Times New Roman" w:hAnsi="Times New Roman"/>
                <w:color w:val="auto"/>
                <w:kern w:val="0"/>
                <w:szCs w:val="21"/>
                <w:highlight w:val="none"/>
              </w:rPr>
              <w:t>水泥抹灰砂浆</w:t>
            </w:r>
          </w:p>
        </w:tc>
        <w:tc>
          <w:tcPr>
            <w:tcW w:w="530" w:type="pct"/>
            <w:vAlign w:val="center"/>
          </w:tcPr>
          <w:p>
            <w:pPr>
              <w:widowControl/>
              <w:jc w:val="center"/>
              <w:rPr>
                <w:rFonts w:ascii="Times New Roman" w:hAnsi="Times New Roman"/>
                <w:color w:val="auto"/>
                <w:szCs w:val="21"/>
                <w:highlight w:val="none"/>
              </w:rPr>
            </w:pPr>
            <w:r>
              <w:rPr>
                <w:rFonts w:hint="eastAsia" w:ascii="Times New Roman" w:hAnsi="Times New Roman"/>
                <w:color w:val="auto"/>
                <w:szCs w:val="21"/>
                <w:highlight w:val="none"/>
              </w:rPr>
              <w:t>胶粘剂</w:t>
            </w:r>
            <w:r>
              <w:rPr>
                <w:rFonts w:ascii="Times New Roman" w:hAnsi="Times New Roman"/>
                <w:color w:val="auto"/>
                <w:szCs w:val="21"/>
                <w:highlight w:val="none"/>
              </w:rPr>
              <w:t>+</w:t>
            </w:r>
            <w:r>
              <w:rPr>
                <w:rFonts w:hint="eastAsia" w:ascii="Times New Roman" w:hAnsi="Times New Roman"/>
                <w:color w:val="auto"/>
                <w:szCs w:val="21"/>
                <w:highlight w:val="none"/>
              </w:rPr>
              <w:t>锚栓</w:t>
            </w:r>
          </w:p>
        </w:tc>
        <w:tc>
          <w:tcPr>
            <w:tcW w:w="686" w:type="pct"/>
            <w:vAlign w:val="center"/>
          </w:tcPr>
          <w:p>
            <w:pPr>
              <w:widowControl/>
              <w:jc w:val="center"/>
              <w:rPr>
                <w:rFonts w:ascii="Times New Roman" w:hAnsi="Times New Roman"/>
                <w:color w:val="auto"/>
                <w:szCs w:val="21"/>
                <w:highlight w:val="none"/>
              </w:rPr>
            </w:pPr>
            <w:r>
              <w:rPr>
                <w:rFonts w:hint="eastAsia" w:ascii="Times New Roman" w:hAnsi="Times New Roman"/>
                <w:color w:val="auto"/>
                <w:szCs w:val="21"/>
                <w:highlight w:val="none"/>
              </w:rPr>
              <w:t>保温板材</w:t>
            </w:r>
          </w:p>
        </w:tc>
        <w:tc>
          <w:tcPr>
            <w:tcW w:w="609" w:type="pct"/>
            <w:vAlign w:val="center"/>
          </w:tcPr>
          <w:p>
            <w:pPr>
              <w:widowControl/>
              <w:rPr>
                <w:rFonts w:ascii="Times New Roman" w:hAnsi="Times New Roman"/>
                <w:color w:val="auto"/>
                <w:szCs w:val="21"/>
                <w:highlight w:val="none"/>
              </w:rPr>
            </w:pPr>
            <w:r>
              <w:rPr>
                <w:rFonts w:hint="eastAsia" w:ascii="Times New Roman" w:hAnsi="Times New Roman"/>
                <w:color w:val="auto"/>
                <w:szCs w:val="21"/>
                <w:highlight w:val="none"/>
              </w:rPr>
              <w:t>纸面石膏板、无石棉硅酸钙板面层、无石棉纤维水泥平板面层</w:t>
            </w:r>
          </w:p>
        </w:tc>
        <w:tc>
          <w:tcPr>
            <w:tcW w:w="688" w:type="pct"/>
            <w:vAlign w:val="center"/>
          </w:tcPr>
          <w:p>
            <w:pPr>
              <w:jc w:val="center"/>
              <w:rPr>
                <w:color w:val="auto"/>
                <w:szCs w:val="21"/>
                <w:highlight w:val="none"/>
              </w:rPr>
            </w:pPr>
            <w:r>
              <w:rPr>
                <w:rFonts w:hint="eastAsia"/>
                <w:color w:val="auto"/>
                <w:szCs w:val="21"/>
                <w:highlight w:val="none"/>
              </w:rPr>
              <w:t>腻子层＋</w:t>
            </w:r>
          </w:p>
          <w:p>
            <w:pPr>
              <w:jc w:val="center"/>
              <w:rPr>
                <w:color w:val="auto"/>
                <w:szCs w:val="21"/>
                <w:highlight w:val="none"/>
              </w:rPr>
            </w:pPr>
            <w:r>
              <w:rPr>
                <w:rFonts w:hint="eastAsia"/>
                <w:color w:val="auto"/>
                <w:szCs w:val="21"/>
                <w:highlight w:val="none"/>
              </w:rPr>
              <w:t>涂料或</w:t>
            </w:r>
          </w:p>
          <w:p>
            <w:pPr>
              <w:widowControl/>
              <w:jc w:val="center"/>
              <w:rPr>
                <w:rFonts w:ascii="Times New Roman" w:hAnsi="Times New Roman"/>
                <w:color w:val="auto"/>
                <w:szCs w:val="21"/>
                <w:highlight w:val="none"/>
              </w:rPr>
            </w:pPr>
            <w:r>
              <w:rPr>
                <w:rFonts w:hint="eastAsia"/>
                <w:color w:val="auto"/>
                <w:szCs w:val="21"/>
                <w:highlight w:val="none"/>
              </w:rPr>
              <w:t>墙纸（布)或面砖</w:t>
            </w:r>
          </w:p>
        </w:tc>
        <w:tc>
          <w:tcPr>
            <w:tcW w:w="1588" w:type="pct"/>
            <w:vMerge w:val="continue"/>
            <w:vAlign w:val="center"/>
          </w:tcPr>
          <w:p>
            <w:pPr>
              <w:widowControl/>
              <w:jc w:val="left"/>
              <w:rPr>
                <w:rFonts w:ascii="Times New Roman" w:hAnsi="Times New Roman"/>
                <w:color w:val="auto"/>
                <w:sz w:val="24"/>
                <w:szCs w:val="21"/>
                <w:highlight w:val="none"/>
              </w:rPr>
            </w:pPr>
          </w:p>
        </w:tc>
      </w:tr>
    </w:tbl>
    <w:p>
      <w:pPr>
        <w:widowControl/>
        <w:spacing w:line="360" w:lineRule="auto"/>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注：1 当面板带饰面时，不再做饰面层。</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outlineLvl w:val="9"/>
        <w:rPr>
          <w:rFonts w:hint="eastAsia" w:asciiTheme="minorEastAsia" w:hAnsiTheme="minorEastAsia" w:eastAsiaTheme="minorEastAsia" w:cstheme="minorEastAsia"/>
          <w:color w:val="auto"/>
          <w:sz w:val="21"/>
          <w:szCs w:val="21"/>
          <w:highlight w:val="none"/>
        </w:rPr>
      </w:pPr>
      <w:bookmarkStart w:id="205" w:name="_Toc6967"/>
      <w:bookmarkStart w:id="206" w:name="_Toc20940"/>
      <w:r>
        <w:rPr>
          <w:rFonts w:hint="eastAsia" w:asciiTheme="minorEastAsia" w:hAnsiTheme="minorEastAsia" w:eastAsiaTheme="minorEastAsia" w:cstheme="minorEastAsia"/>
          <w:color w:val="auto"/>
          <w:sz w:val="21"/>
          <w:szCs w:val="21"/>
          <w:highlight w:val="none"/>
        </w:rPr>
        <w:t>2面砖饰面不做腻子层。</w:t>
      </w:r>
      <w:bookmarkEnd w:id="205"/>
      <w:bookmarkEnd w:id="206"/>
    </w:p>
    <w:p>
      <w:pPr>
        <w:spacing w:line="360" w:lineRule="auto"/>
        <w:outlineLvl w:val="2"/>
        <w:rPr>
          <w:rFonts w:asciiTheme="majorEastAsia" w:hAnsiTheme="majorEastAsia" w:eastAsiaTheme="majorEastAsia"/>
          <w:color w:val="auto"/>
          <w:sz w:val="24"/>
          <w:szCs w:val="24"/>
          <w:highlight w:val="none"/>
        </w:rPr>
      </w:pPr>
      <w:bookmarkStart w:id="207" w:name="_Toc16663"/>
      <w:r>
        <w:rPr>
          <w:rFonts w:asciiTheme="majorEastAsia" w:hAnsiTheme="majorEastAsia" w:eastAsiaTheme="majorEastAsia"/>
          <w:color w:val="auto"/>
          <w:sz w:val="24"/>
          <w:szCs w:val="24"/>
          <w:highlight w:val="none"/>
        </w:rPr>
        <w:t xml:space="preserve">5.2.2 </w:t>
      </w:r>
      <w:r>
        <w:rPr>
          <w:rFonts w:hint="eastAsia" w:asciiTheme="majorEastAsia" w:hAnsiTheme="majorEastAsia" w:eastAsiaTheme="majorEastAsia"/>
          <w:color w:val="auto"/>
          <w:sz w:val="24"/>
          <w:szCs w:val="24"/>
          <w:highlight w:val="none"/>
        </w:rPr>
        <w:t>内保温复合板系统基层墙体应采用水泥抹灰砂浆整体找平，抹灰工程质量应符合现行国家标准《建筑装饰装修工程质量验收规范》GB 50210的规定。</w:t>
      </w:r>
      <w:bookmarkEnd w:id="207"/>
    </w:p>
    <w:p>
      <w:pPr>
        <w:widowControl/>
        <w:spacing w:line="360" w:lineRule="auto"/>
        <w:rPr>
          <w:rFonts w:ascii="楷体" w:hAnsi="楷体" w:eastAsia="楷体"/>
          <w:color w:val="auto"/>
          <w:sz w:val="24"/>
          <w:szCs w:val="24"/>
          <w:highlight w:val="none"/>
        </w:rPr>
      </w:pPr>
      <w:r>
        <w:rPr>
          <w:rFonts w:hint="eastAsia" w:ascii="楷体" w:hAnsi="楷体" w:eastAsia="楷体"/>
          <w:color w:val="auto"/>
          <w:sz w:val="24"/>
          <w:szCs w:val="24"/>
          <w:highlight w:val="none"/>
        </w:rPr>
        <w:t>【条文说明】</w:t>
      </w:r>
      <w:r>
        <w:rPr>
          <w:rFonts w:hint="eastAsia" w:ascii="楷体" w:hAnsi="楷体" w:eastAsia="楷体"/>
          <w:color w:val="auto"/>
          <w:sz w:val="24"/>
          <w:szCs w:val="24"/>
          <w:highlight w:val="none"/>
          <w:lang w:val="en-US" w:eastAsia="zh-CN"/>
        </w:rPr>
        <w:t>5.2.2</w:t>
      </w:r>
      <w:r>
        <w:rPr>
          <w:rFonts w:hint="eastAsia" w:ascii="楷体" w:hAnsi="楷体" w:eastAsia="楷体"/>
          <w:color w:val="auto"/>
          <w:sz w:val="24"/>
          <w:szCs w:val="24"/>
          <w:highlight w:val="none"/>
        </w:rPr>
        <w:t>为保证内保温复合板系统完成面平整，墙面空鼓开裂要求基层墙体平整度满足要求，若项目采用铝模、蒸压加气混凝土精确砌块等工艺或其他措施当基层整体质量满足现行国家标准《建筑装饰装修工程质量验收规范》GB 50210的规定时，可不单独设置找平层。</w:t>
      </w:r>
    </w:p>
    <w:p>
      <w:pPr>
        <w:widowControl/>
        <w:spacing w:line="360" w:lineRule="auto"/>
        <w:ind w:firstLine="420"/>
        <w:rPr>
          <w:rFonts w:asciiTheme="majorEastAsia" w:hAnsiTheme="majorEastAsia" w:eastAsiaTheme="majorEastAsia"/>
          <w:color w:val="auto"/>
          <w:sz w:val="24"/>
          <w:szCs w:val="24"/>
          <w:highlight w:val="none"/>
        </w:rPr>
      </w:pPr>
      <w:r>
        <w:rPr>
          <w:rFonts w:hint="eastAsia" w:ascii="楷体" w:hAnsi="楷体" w:eastAsia="楷体"/>
          <w:color w:val="auto"/>
          <w:sz w:val="24"/>
          <w:szCs w:val="24"/>
          <w:highlight w:val="none"/>
        </w:rPr>
        <w:t>采用水泥抹灰砂浆进行找平层，找平层厚度不宜小于1</w:t>
      </w:r>
      <w:r>
        <w:rPr>
          <w:rFonts w:ascii="楷体" w:hAnsi="楷体" w:eastAsia="楷体"/>
          <w:color w:val="auto"/>
          <w:sz w:val="24"/>
          <w:szCs w:val="24"/>
          <w:highlight w:val="none"/>
        </w:rPr>
        <w:t>2</w:t>
      </w:r>
      <w:r>
        <w:rPr>
          <w:rFonts w:hint="eastAsia" w:ascii="楷体" w:hAnsi="楷体" w:eastAsia="楷体"/>
          <w:color w:val="auto"/>
          <w:sz w:val="24"/>
          <w:szCs w:val="24"/>
          <w:highlight w:val="none"/>
        </w:rPr>
        <w:t>mm，抹灰砂浆的性能及抹灰工程（普通抹灰）质量应符合《抹灰砂浆技术规程》J</w:t>
      </w:r>
      <w:r>
        <w:rPr>
          <w:rFonts w:ascii="楷体" w:hAnsi="楷体" w:eastAsia="楷体"/>
          <w:color w:val="auto"/>
          <w:sz w:val="24"/>
          <w:szCs w:val="24"/>
          <w:highlight w:val="none"/>
        </w:rPr>
        <w:t>GJ/T 220</w:t>
      </w:r>
      <w:r>
        <w:rPr>
          <w:rFonts w:hint="eastAsia" w:ascii="楷体" w:hAnsi="楷体" w:eastAsia="楷体"/>
          <w:color w:val="auto"/>
          <w:sz w:val="24"/>
          <w:szCs w:val="24"/>
          <w:highlight w:val="none"/>
        </w:rPr>
        <w:t>的规定，找平层与基层墙体应粘接牢固，粘接强度不应小于0</w:t>
      </w:r>
      <w:r>
        <w:rPr>
          <w:rFonts w:ascii="楷体" w:hAnsi="楷体" w:eastAsia="楷体"/>
          <w:color w:val="auto"/>
          <w:sz w:val="24"/>
          <w:szCs w:val="24"/>
          <w:highlight w:val="none"/>
        </w:rPr>
        <w:t>.3M</w:t>
      </w:r>
      <w:r>
        <w:rPr>
          <w:rFonts w:hint="eastAsia" w:ascii="楷体" w:hAnsi="楷体" w:eastAsia="楷体"/>
          <w:color w:val="auto"/>
          <w:sz w:val="24"/>
          <w:szCs w:val="24"/>
          <w:highlight w:val="none"/>
        </w:rPr>
        <w:t>pa，找平层垂直度和平整度应符合现行国家标准《建筑装饰装修工程质量验收规范》GB 50210的规定。</w:t>
      </w:r>
      <w:bookmarkStart w:id="208" w:name="_Toc23417"/>
    </w:p>
    <w:p>
      <w:pPr>
        <w:spacing w:line="360" w:lineRule="auto"/>
        <w:jc w:val="left"/>
        <w:outlineLvl w:val="2"/>
        <w:rPr>
          <w:rFonts w:asciiTheme="minorEastAsia" w:hAnsiTheme="minorEastAsia"/>
          <w:color w:val="auto"/>
          <w:sz w:val="24"/>
          <w:szCs w:val="24"/>
          <w:highlight w:val="none"/>
        </w:rPr>
      </w:pPr>
      <w:r>
        <w:rPr>
          <w:rFonts w:hint="eastAsia" w:asciiTheme="minorHAnsi" w:hAnsiTheme="minorHAnsi" w:eastAsiaTheme="minorEastAsia" w:cstheme="minorBidi"/>
          <w:bCs/>
          <w:color w:val="auto"/>
          <w:kern w:val="28"/>
          <w:sz w:val="24"/>
          <w:szCs w:val="24"/>
          <w:highlight w:val="none"/>
        </w:rPr>
        <w:t>5.2.3 建筑内保温工程的保温材料应与基层墙体有可靠连接，粘结构造应采用不同保温材料的专用粘结剂，</w:t>
      </w:r>
      <w:r>
        <w:rPr>
          <w:rFonts w:hint="eastAsia" w:asciiTheme="majorEastAsia" w:hAnsiTheme="majorEastAsia" w:eastAsiaTheme="majorEastAsia"/>
          <w:color w:val="auto"/>
          <w:sz w:val="24"/>
          <w:szCs w:val="24"/>
          <w:highlight w:val="none"/>
        </w:rPr>
        <w:t>并符合下列规定：</w:t>
      </w:r>
    </w:p>
    <w:p>
      <w:pPr>
        <w:spacing w:line="360" w:lineRule="auto"/>
        <w:ind w:firstLine="480" w:firstLineChars="200"/>
        <w:rPr>
          <w:rFonts w:ascii="Times New Roman" w:hAnsi="Times New Roman"/>
          <w:color w:val="auto"/>
          <w:sz w:val="24"/>
          <w:szCs w:val="24"/>
          <w:highlight w:val="none"/>
        </w:rPr>
      </w:pPr>
      <w:r>
        <w:rPr>
          <w:rFonts w:hint="eastAsia" w:ascii="Times New Roman" w:hAnsi="Times New Roman"/>
          <w:color w:val="auto"/>
          <w:sz w:val="24"/>
          <w:szCs w:val="24"/>
          <w:highlight w:val="none"/>
        </w:rPr>
        <w:t>1粘贴复合板前，应对其粘接面做界面处理，基层墙体的其界面剂的类型应与其材质匹配。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Times New Roman" w:hAnsi="Times New Roman"/>
          <w:color w:val="auto"/>
          <w:sz w:val="24"/>
          <w:szCs w:val="24"/>
          <w:highlight w:val="none"/>
        </w:rPr>
      </w:pPr>
      <w:r>
        <w:rPr>
          <w:rFonts w:ascii="Times New Roman" w:hAnsi="Times New Roman"/>
          <w:color w:val="auto"/>
          <w:sz w:val="24"/>
          <w:szCs w:val="24"/>
          <w:highlight w:val="none"/>
        </w:rPr>
        <w:t>2</w:t>
      </w:r>
      <w:r>
        <w:rPr>
          <w:rFonts w:hint="eastAsia" w:ascii="Times New Roman" w:hAnsi="Times New Roman"/>
          <w:color w:val="auto"/>
          <w:sz w:val="24"/>
          <w:szCs w:val="24"/>
          <w:highlight w:val="none"/>
        </w:rPr>
        <w:t>复合板与基层之间采用点框法粘贴</w:t>
      </w:r>
      <w:r>
        <w:rPr>
          <w:rFonts w:hint="eastAsia" w:ascii="Times New Roman" w:hAnsi="Times New Roman"/>
          <w:color w:val="auto"/>
          <w:sz w:val="24"/>
          <w:szCs w:val="24"/>
          <w:highlight w:val="none"/>
          <w:lang w:eastAsia="zh-CN"/>
        </w:rPr>
        <w:t>，</w:t>
      </w:r>
      <w:r>
        <w:rPr>
          <w:rFonts w:hint="eastAsia" w:asciiTheme="minorEastAsia" w:hAnsiTheme="minorEastAsia"/>
          <w:color w:val="auto"/>
          <w:sz w:val="24"/>
          <w:szCs w:val="24"/>
          <w:highlight w:val="none"/>
        </w:rPr>
        <w:t>涂料饰面时，粘贴面积不应小于复合板面积的40%；面砖饰面时，粘贴面积不应小于复合板面积的60%</w:t>
      </w:r>
      <w:r>
        <w:rPr>
          <w:rFonts w:hint="eastAsia" w:ascii="Times New Roman" w:hAnsi="Times New Roman"/>
          <w:color w:val="auto"/>
          <w:sz w:val="24"/>
          <w:szCs w:val="24"/>
          <w:highlight w:val="none"/>
          <w:lang w:val="en-US" w:eastAsia="zh-CN"/>
        </w:rPr>
        <w:t>。</w:t>
      </w:r>
    </w:p>
    <w:p>
      <w:pPr>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3</w:t>
      </w:r>
      <w:r>
        <w:rPr>
          <w:rFonts w:hint="eastAsia" w:ascii="Times New Roman" w:hAnsi="Times New Roman"/>
          <w:color w:val="auto"/>
          <w:sz w:val="24"/>
          <w:szCs w:val="24"/>
          <w:highlight w:val="none"/>
        </w:rPr>
        <w:t>在</w:t>
      </w:r>
      <w:r>
        <w:rPr>
          <w:rFonts w:ascii="Times New Roman" w:hAnsi="Times New Roman"/>
          <w:color w:val="auto"/>
          <w:sz w:val="24"/>
          <w:szCs w:val="24"/>
          <w:highlight w:val="none"/>
        </w:rPr>
        <w:t>门窗洞口四周、外墙</w:t>
      </w:r>
      <w:r>
        <w:rPr>
          <w:rFonts w:hint="eastAsia" w:ascii="Times New Roman" w:hAnsi="Times New Roman"/>
          <w:color w:val="auto"/>
          <w:sz w:val="24"/>
          <w:szCs w:val="24"/>
          <w:highlight w:val="none"/>
        </w:rPr>
        <w:t>转角</w:t>
      </w:r>
      <w:r>
        <w:rPr>
          <w:rFonts w:ascii="Times New Roman" w:hAnsi="Times New Roman"/>
          <w:color w:val="auto"/>
          <w:sz w:val="24"/>
          <w:szCs w:val="24"/>
          <w:highlight w:val="none"/>
        </w:rPr>
        <w:t>和复合板上下两端距顶</w:t>
      </w:r>
      <w:r>
        <w:rPr>
          <w:rFonts w:hint="eastAsia" w:ascii="Times New Roman" w:hAnsi="Times New Roman"/>
          <w:color w:val="auto"/>
          <w:sz w:val="24"/>
          <w:szCs w:val="24"/>
          <w:highlight w:val="none"/>
        </w:rPr>
        <w:t>面</w:t>
      </w:r>
      <w:r>
        <w:rPr>
          <w:rFonts w:ascii="Times New Roman" w:hAnsi="Times New Roman"/>
          <w:color w:val="auto"/>
          <w:sz w:val="24"/>
          <w:szCs w:val="24"/>
          <w:highlight w:val="none"/>
        </w:rPr>
        <w:t>和</w:t>
      </w:r>
      <w:r>
        <w:rPr>
          <w:rFonts w:hint="eastAsia" w:ascii="Times New Roman" w:hAnsi="Times New Roman"/>
          <w:color w:val="auto"/>
          <w:sz w:val="24"/>
          <w:szCs w:val="24"/>
          <w:highlight w:val="none"/>
        </w:rPr>
        <w:t>地面100mm处</w:t>
      </w:r>
      <w:r>
        <w:rPr>
          <w:rFonts w:ascii="Times New Roman" w:hAnsi="Times New Roman"/>
          <w:color w:val="auto"/>
          <w:sz w:val="24"/>
          <w:szCs w:val="24"/>
          <w:highlight w:val="none"/>
        </w:rPr>
        <w:t>，均应采用通长粘结，且宽度不应小于</w:t>
      </w:r>
      <w:r>
        <w:rPr>
          <w:rFonts w:hint="eastAsia" w:ascii="Times New Roman" w:hAnsi="Times New Roman"/>
          <w:color w:val="auto"/>
          <w:sz w:val="24"/>
          <w:szCs w:val="24"/>
          <w:highlight w:val="none"/>
        </w:rPr>
        <w:t>50mm。</w:t>
      </w:r>
    </w:p>
    <w:p>
      <w:pPr>
        <w:spacing w:line="360" w:lineRule="auto"/>
        <w:jc w:val="left"/>
        <w:rPr>
          <w:rFonts w:ascii="楷体" w:hAnsi="楷体" w:eastAsia="楷体"/>
          <w:color w:val="auto"/>
          <w:sz w:val="24"/>
          <w:szCs w:val="24"/>
          <w:highlight w:val="none"/>
        </w:rPr>
      </w:pPr>
      <w:r>
        <w:rPr>
          <w:rFonts w:hint="eastAsia" w:ascii="楷体" w:hAnsi="楷体" w:eastAsia="楷体"/>
          <w:color w:val="auto"/>
          <w:sz w:val="24"/>
          <w:szCs w:val="24"/>
          <w:highlight w:val="none"/>
        </w:rPr>
        <w:t>【条文说明】</w:t>
      </w:r>
      <w:r>
        <w:rPr>
          <w:rFonts w:hint="eastAsia" w:ascii="楷体" w:hAnsi="楷体" w:eastAsia="楷体"/>
          <w:color w:val="auto"/>
          <w:sz w:val="24"/>
          <w:szCs w:val="24"/>
          <w:highlight w:val="none"/>
          <w:lang w:val="en-US" w:eastAsia="zh-CN"/>
        </w:rPr>
        <w:t>5.2.3</w:t>
      </w:r>
      <w:r>
        <w:rPr>
          <w:rFonts w:hint="eastAsia" w:ascii="楷体" w:hAnsi="楷体" w:eastAsia="楷体"/>
          <w:color w:val="auto"/>
          <w:sz w:val="24"/>
          <w:szCs w:val="24"/>
          <w:highlight w:val="none"/>
        </w:rPr>
        <w:t>复合保温板应采用以粘锚结合的方式与基层应有可靠的连接,并符合下列规定:</w:t>
      </w:r>
    </w:p>
    <w:p>
      <w:pPr>
        <w:spacing w:line="360" w:lineRule="auto"/>
        <w:ind w:firstLine="360"/>
        <w:rPr>
          <w:rFonts w:ascii="楷体" w:hAnsi="楷体" w:eastAsia="楷体"/>
          <w:color w:val="auto"/>
          <w:sz w:val="24"/>
          <w:szCs w:val="24"/>
          <w:highlight w:val="none"/>
        </w:rPr>
      </w:pPr>
      <w:r>
        <w:rPr>
          <w:rFonts w:hint="eastAsia" w:ascii="楷体" w:hAnsi="楷体" w:eastAsia="楷体"/>
          <w:color w:val="auto"/>
          <w:sz w:val="24"/>
          <w:szCs w:val="24"/>
          <w:highlight w:val="none"/>
        </w:rPr>
        <w:t>1粘贴复合保温板前,应对其基层面做界面处理，确保基层与复合板的粘接强度。基层墙体的界面剂选择应根据其组成材料而定，基层墙体为混凝土墙、混凝土砌块(砖)、混凝土条板等砌体时,应采用混凝土界面剂；基层墙体为蒸压加气混凝土砌块、条板时，应采用加气混凝土专用界面剂。</w:t>
      </w:r>
    </w:p>
    <w:p>
      <w:pPr>
        <w:spacing w:line="360" w:lineRule="auto"/>
        <w:ind w:firstLine="480" w:firstLineChars="200"/>
        <w:jc w:val="left"/>
        <w:rPr>
          <w:rFonts w:ascii="楷体" w:hAnsi="楷体" w:eastAsia="楷体"/>
          <w:color w:val="auto"/>
          <w:sz w:val="24"/>
          <w:szCs w:val="24"/>
          <w:highlight w:val="none"/>
        </w:rPr>
      </w:pPr>
      <w:r>
        <w:rPr>
          <w:rFonts w:hint="eastAsia" w:ascii="楷体" w:hAnsi="楷体" w:eastAsia="楷体"/>
          <w:color w:val="auto"/>
          <w:sz w:val="24"/>
          <w:szCs w:val="24"/>
          <w:highlight w:val="none"/>
        </w:rPr>
        <w:t>2复合保温板与基层之间采用点框法粘贴,</w:t>
      </w:r>
      <w:r>
        <w:rPr>
          <w:rFonts w:hint="eastAsia" w:ascii="楷体" w:hAnsi="楷体" w:eastAsia="楷体"/>
          <w:color w:val="auto"/>
          <w:sz w:val="24"/>
          <w:szCs w:val="24"/>
          <w:highlight w:val="none"/>
          <w:lang w:val="en-US" w:eastAsia="zh-CN"/>
        </w:rPr>
        <w:t>粘结材料应在垂直线上均匀有间隔的布点</w:t>
      </w:r>
      <w:r>
        <w:rPr>
          <w:rFonts w:hint="eastAsia" w:ascii="楷体" w:hAnsi="楷体" w:eastAsia="楷体"/>
          <w:color w:val="auto"/>
          <w:sz w:val="24"/>
          <w:szCs w:val="24"/>
          <w:highlight w:val="none"/>
        </w:rPr>
        <w:t>。粘贴面积应符合表</w:t>
      </w:r>
      <w:r>
        <w:rPr>
          <w:rFonts w:hint="eastAsia" w:ascii="楷体" w:hAnsi="楷体" w:eastAsia="楷体"/>
          <w:color w:val="auto"/>
          <w:sz w:val="24"/>
          <w:szCs w:val="24"/>
          <w:highlight w:val="none"/>
          <w:lang w:val="en-US" w:eastAsia="zh-CN"/>
        </w:rPr>
        <w:t>5.2.3</w:t>
      </w:r>
      <w:r>
        <w:rPr>
          <w:rFonts w:hint="eastAsia" w:ascii="楷体" w:hAnsi="楷体" w:eastAsia="楷体"/>
          <w:color w:val="auto"/>
          <w:sz w:val="24"/>
          <w:szCs w:val="24"/>
          <w:highlight w:val="none"/>
        </w:rPr>
        <w:t>的要求。</w:t>
      </w:r>
    </w:p>
    <w:p>
      <w:pPr>
        <w:spacing w:line="360" w:lineRule="auto"/>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表</w:t>
      </w:r>
      <w:r>
        <w:rPr>
          <w:rFonts w:hint="eastAsia" w:ascii="楷体" w:hAnsi="楷体" w:eastAsia="楷体"/>
          <w:color w:val="auto"/>
          <w:sz w:val="24"/>
          <w:szCs w:val="24"/>
          <w:highlight w:val="none"/>
          <w:lang w:val="en-US" w:eastAsia="zh-CN"/>
        </w:rPr>
        <w:t>5.2.3</w:t>
      </w:r>
      <w:r>
        <w:rPr>
          <w:rFonts w:hint="eastAsia" w:ascii="楷体" w:hAnsi="楷体" w:eastAsia="楷体"/>
          <w:color w:val="auto"/>
          <w:sz w:val="24"/>
          <w:szCs w:val="24"/>
          <w:highlight w:val="none"/>
        </w:rPr>
        <w:t xml:space="preserve">  点框法粘贴面积</w:t>
      </w:r>
    </w:p>
    <w:tbl>
      <w:tblPr>
        <w:tblStyle w:val="25"/>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840"/>
        <w:gridCol w:w="2841"/>
        <w:gridCol w:w="284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840" w:type="dxa"/>
            <w:vAlign w:val="center"/>
          </w:tcPr>
          <w:p>
            <w:pPr>
              <w:spacing w:line="360" w:lineRule="auto"/>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使用部位</w:t>
            </w:r>
          </w:p>
        </w:tc>
        <w:tc>
          <w:tcPr>
            <w:tcW w:w="5682" w:type="dxa"/>
            <w:gridSpan w:val="2"/>
            <w:vAlign w:val="center"/>
          </w:tcPr>
          <w:p>
            <w:pPr>
              <w:spacing w:line="360" w:lineRule="auto"/>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粘贴面积</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840" w:type="dxa"/>
            <w:vMerge w:val="restart"/>
            <w:vAlign w:val="center"/>
          </w:tcPr>
          <w:p>
            <w:pPr>
              <w:spacing w:line="360" w:lineRule="auto"/>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墙体</w:t>
            </w:r>
          </w:p>
        </w:tc>
        <w:tc>
          <w:tcPr>
            <w:tcW w:w="2841" w:type="dxa"/>
            <w:vAlign w:val="center"/>
          </w:tcPr>
          <w:p>
            <w:pPr>
              <w:spacing w:line="360" w:lineRule="auto"/>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涂料</w:t>
            </w:r>
          </w:p>
        </w:tc>
        <w:tc>
          <w:tcPr>
            <w:tcW w:w="2841" w:type="dxa"/>
            <w:vAlign w:val="center"/>
          </w:tcPr>
          <w:p>
            <w:pPr>
              <w:spacing w:line="360" w:lineRule="auto"/>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40%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840" w:type="dxa"/>
            <w:vMerge w:val="continue"/>
            <w:vAlign w:val="center"/>
          </w:tcPr>
          <w:p>
            <w:pPr>
              <w:spacing w:line="360" w:lineRule="auto"/>
              <w:jc w:val="center"/>
              <w:rPr>
                <w:rFonts w:ascii="楷体" w:hAnsi="楷体" w:eastAsia="楷体"/>
                <w:color w:val="auto"/>
                <w:sz w:val="24"/>
                <w:szCs w:val="24"/>
                <w:highlight w:val="none"/>
              </w:rPr>
            </w:pPr>
          </w:p>
        </w:tc>
        <w:tc>
          <w:tcPr>
            <w:tcW w:w="2841" w:type="dxa"/>
            <w:vAlign w:val="center"/>
          </w:tcPr>
          <w:p>
            <w:pPr>
              <w:spacing w:line="360" w:lineRule="auto"/>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面砖</w:t>
            </w:r>
          </w:p>
        </w:tc>
        <w:tc>
          <w:tcPr>
            <w:tcW w:w="2841" w:type="dxa"/>
            <w:vAlign w:val="center"/>
          </w:tcPr>
          <w:p>
            <w:pPr>
              <w:spacing w:line="360" w:lineRule="auto"/>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60%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840" w:type="dxa"/>
            <w:vAlign w:val="center"/>
          </w:tcPr>
          <w:p>
            <w:pPr>
              <w:spacing w:line="360" w:lineRule="auto"/>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屋面板底</w:t>
            </w:r>
          </w:p>
        </w:tc>
        <w:tc>
          <w:tcPr>
            <w:tcW w:w="5682" w:type="dxa"/>
            <w:gridSpan w:val="2"/>
            <w:vAlign w:val="center"/>
          </w:tcPr>
          <w:p>
            <w:pPr>
              <w:spacing w:line="360" w:lineRule="auto"/>
              <w:jc w:val="center"/>
              <w:rPr>
                <w:rFonts w:ascii="楷体" w:hAnsi="楷体" w:eastAsia="楷体"/>
                <w:color w:val="auto"/>
                <w:sz w:val="24"/>
                <w:szCs w:val="24"/>
                <w:highlight w:val="none"/>
              </w:rPr>
            </w:pPr>
            <w:r>
              <w:rPr>
                <w:rFonts w:hint="eastAsia" w:ascii="楷体" w:hAnsi="楷体" w:eastAsia="楷体"/>
                <w:color w:val="auto"/>
                <w:sz w:val="24"/>
                <w:szCs w:val="24"/>
                <w:highlight w:val="none"/>
              </w:rPr>
              <w:t>60%</w:t>
            </w:r>
          </w:p>
        </w:tc>
      </w:tr>
    </w:tbl>
    <w:p>
      <w:pPr>
        <w:pStyle w:val="2"/>
        <w:rPr>
          <w:color w:val="auto"/>
          <w:highlight w:val="none"/>
        </w:rPr>
      </w:pPr>
    </w:p>
    <w:bookmarkEnd w:id="208"/>
    <w:p>
      <w:pPr>
        <w:spacing w:line="360" w:lineRule="auto"/>
        <w:outlineLvl w:val="2"/>
        <w:rPr>
          <w:rFonts w:asciiTheme="majorEastAsia" w:hAnsiTheme="majorEastAsia" w:eastAsiaTheme="majorEastAsia"/>
          <w:color w:val="auto"/>
          <w:sz w:val="24"/>
          <w:szCs w:val="24"/>
          <w:highlight w:val="none"/>
        </w:rPr>
      </w:pPr>
      <w:bookmarkStart w:id="209" w:name="_Toc868"/>
      <w:r>
        <w:rPr>
          <w:rFonts w:asciiTheme="majorEastAsia" w:hAnsiTheme="majorEastAsia" w:eastAsiaTheme="majorEastAsia"/>
          <w:color w:val="auto"/>
          <w:sz w:val="24"/>
          <w:szCs w:val="24"/>
          <w:highlight w:val="none"/>
        </w:rPr>
        <w:t xml:space="preserve">5.2.4 </w:t>
      </w:r>
      <w:r>
        <w:rPr>
          <w:rFonts w:hint="eastAsia" w:asciiTheme="majorEastAsia" w:hAnsiTheme="majorEastAsia" w:eastAsiaTheme="majorEastAsia"/>
          <w:color w:val="auto"/>
          <w:sz w:val="24"/>
          <w:szCs w:val="24"/>
          <w:highlight w:val="none"/>
        </w:rPr>
        <w:t>内保温复合</w:t>
      </w:r>
      <w:r>
        <w:rPr>
          <w:rFonts w:asciiTheme="majorEastAsia" w:hAnsiTheme="majorEastAsia" w:eastAsiaTheme="majorEastAsia"/>
          <w:color w:val="auto"/>
          <w:sz w:val="24"/>
          <w:szCs w:val="24"/>
          <w:highlight w:val="none"/>
        </w:rPr>
        <w:t>板系统采用的锚栓应符合下列规定：</w:t>
      </w:r>
      <w:bookmarkEnd w:id="209"/>
    </w:p>
    <w:p>
      <w:pPr>
        <w:spacing w:line="360" w:lineRule="auto"/>
        <w:ind w:firstLine="480" w:firstLineChars="200"/>
        <w:rPr>
          <w:rFonts w:hint="eastAsia" w:ascii="Times New Roman" w:hAnsi="Times New Roman" w:eastAsia="宋体"/>
          <w:color w:val="auto"/>
          <w:sz w:val="24"/>
          <w:szCs w:val="24"/>
          <w:highlight w:val="none"/>
          <w:lang w:eastAsia="zh-CN"/>
        </w:rPr>
      </w:pPr>
      <w:r>
        <w:rPr>
          <w:rFonts w:ascii="Times New Roman" w:hAnsi="Times New Roman"/>
          <w:color w:val="auto"/>
          <w:sz w:val="24"/>
          <w:szCs w:val="24"/>
          <w:highlight w:val="none"/>
        </w:rPr>
        <w:t>1</w:t>
      </w:r>
      <w:r>
        <w:rPr>
          <w:rFonts w:hint="eastAsia" w:ascii="Times New Roman" w:hAnsi="Times New Roman"/>
          <w:color w:val="auto"/>
          <w:sz w:val="24"/>
          <w:szCs w:val="24"/>
          <w:highlight w:val="none"/>
        </w:rPr>
        <w:t>应</w:t>
      </w:r>
      <w:r>
        <w:rPr>
          <w:rFonts w:ascii="Times New Roman" w:hAnsi="Times New Roman"/>
          <w:color w:val="auto"/>
          <w:sz w:val="24"/>
          <w:szCs w:val="24"/>
          <w:highlight w:val="none"/>
        </w:rPr>
        <w:t>采用材质为不锈钢或经过表面防腐处理的碳素钢制成的金属钉锚固</w:t>
      </w:r>
      <w:r>
        <w:rPr>
          <w:rFonts w:hint="eastAsia" w:ascii="Times New Roman" w:hAnsi="Times New Roman"/>
          <w:color w:val="auto"/>
          <w:sz w:val="24"/>
          <w:szCs w:val="24"/>
          <w:highlight w:val="none"/>
          <w:lang w:eastAsia="zh-CN"/>
        </w:rPr>
        <w:t>。</w:t>
      </w:r>
    </w:p>
    <w:p>
      <w:pPr>
        <w:spacing w:line="360" w:lineRule="auto"/>
        <w:ind w:firstLine="480" w:firstLineChars="200"/>
        <w:jc w:val="left"/>
        <w:rPr>
          <w:rFonts w:ascii="Times New Roman" w:hAnsi="Times New Roman"/>
          <w:color w:val="auto"/>
          <w:sz w:val="24"/>
          <w:szCs w:val="24"/>
          <w:highlight w:val="none"/>
        </w:rPr>
      </w:pPr>
      <w:r>
        <w:rPr>
          <w:rFonts w:ascii="Times New Roman" w:hAnsi="Times New Roman"/>
          <w:color w:val="auto"/>
          <w:sz w:val="24"/>
          <w:szCs w:val="24"/>
          <w:highlight w:val="none"/>
        </w:rPr>
        <w:t>2</w:t>
      </w:r>
      <w:r>
        <w:rPr>
          <w:rFonts w:hint="eastAsia" w:ascii="Times New Roman" w:hAnsi="Times New Roman"/>
          <w:color w:val="auto"/>
          <w:sz w:val="24"/>
          <w:szCs w:val="24"/>
          <w:highlight w:val="none"/>
        </w:rPr>
        <w:t>锚栓</w:t>
      </w:r>
      <w:r>
        <w:rPr>
          <w:rFonts w:ascii="Times New Roman" w:hAnsi="Times New Roman"/>
          <w:color w:val="auto"/>
          <w:sz w:val="24"/>
          <w:szCs w:val="24"/>
          <w:highlight w:val="none"/>
        </w:rPr>
        <w:t>进入基层墙体的有效锚固深度不应小于</w:t>
      </w:r>
      <w:r>
        <w:rPr>
          <w:rFonts w:hint="eastAsia" w:ascii="Times New Roman" w:hAnsi="Times New Roman"/>
          <w:color w:val="auto"/>
          <w:sz w:val="24"/>
          <w:szCs w:val="24"/>
          <w:highlight w:val="none"/>
        </w:rPr>
        <w:t>25mm，当</w:t>
      </w:r>
      <w:r>
        <w:rPr>
          <w:rFonts w:ascii="Times New Roman" w:hAnsi="Times New Roman"/>
          <w:color w:val="auto"/>
          <w:sz w:val="24"/>
          <w:szCs w:val="24"/>
          <w:highlight w:val="none"/>
        </w:rPr>
        <w:t>基层墙体</w:t>
      </w:r>
      <w:r>
        <w:rPr>
          <w:rFonts w:hint="eastAsia" w:ascii="Times New Roman" w:hAnsi="Times New Roman"/>
          <w:color w:val="auto"/>
          <w:sz w:val="24"/>
          <w:szCs w:val="24"/>
          <w:highlight w:val="none"/>
        </w:rPr>
        <w:t>为蒸压</w:t>
      </w:r>
      <w:r>
        <w:rPr>
          <w:rFonts w:ascii="Times New Roman" w:hAnsi="Times New Roman"/>
          <w:color w:val="auto"/>
          <w:sz w:val="24"/>
          <w:szCs w:val="24"/>
          <w:highlight w:val="none"/>
        </w:rPr>
        <w:t>加气混凝土</w:t>
      </w:r>
      <w:r>
        <w:rPr>
          <w:rFonts w:hint="eastAsia" w:ascii="Times New Roman" w:hAnsi="Times New Roman"/>
          <w:color w:val="auto"/>
          <w:sz w:val="24"/>
          <w:szCs w:val="24"/>
          <w:highlight w:val="none"/>
        </w:rPr>
        <w:t>砌块</w:t>
      </w:r>
      <w:r>
        <w:rPr>
          <w:rFonts w:ascii="Times New Roman" w:hAnsi="Times New Roman"/>
          <w:color w:val="auto"/>
          <w:sz w:val="24"/>
          <w:szCs w:val="24"/>
          <w:highlight w:val="none"/>
        </w:rPr>
        <w:t>时，锚栓的有效锚固深度不应小于</w:t>
      </w:r>
      <w:r>
        <w:rPr>
          <w:rFonts w:hint="eastAsia" w:ascii="Times New Roman" w:hAnsi="Times New Roman"/>
          <w:color w:val="auto"/>
          <w:sz w:val="24"/>
          <w:szCs w:val="24"/>
          <w:highlight w:val="none"/>
        </w:rPr>
        <w:t>50mm；</w:t>
      </w:r>
      <w:r>
        <w:rPr>
          <w:rFonts w:ascii="Times New Roman" w:hAnsi="Times New Roman"/>
          <w:color w:val="auto"/>
          <w:sz w:val="24"/>
          <w:szCs w:val="24"/>
          <w:highlight w:val="none"/>
        </w:rPr>
        <w:t>有空腔结构的基层墙体，应采用旋入式锚栓。</w:t>
      </w:r>
      <w:r>
        <w:rPr>
          <w:rFonts w:hint="eastAsia" w:asciiTheme="minorEastAsia" w:hAnsiTheme="minorEastAsia"/>
          <w:color w:val="auto"/>
          <w:sz w:val="24"/>
          <w:szCs w:val="24"/>
          <w:highlight w:val="none"/>
        </w:rPr>
        <w:t>锚栓应置于胶粘剂位置，不得置于空腔处。</w:t>
      </w:r>
    </w:p>
    <w:p>
      <w:pPr>
        <w:spacing w:line="360" w:lineRule="auto"/>
        <w:ind w:firstLine="480" w:firstLineChars="200"/>
        <w:rPr>
          <w:rFonts w:asciiTheme="minorEastAsia" w:hAnsiTheme="minorEastAsia"/>
          <w:color w:val="auto"/>
          <w:sz w:val="24"/>
          <w:szCs w:val="24"/>
          <w:highlight w:val="none"/>
        </w:rPr>
      </w:pPr>
      <w:r>
        <w:rPr>
          <w:rFonts w:ascii="Times New Roman" w:hAnsi="Times New Roman"/>
          <w:color w:val="auto"/>
          <w:sz w:val="24"/>
          <w:szCs w:val="24"/>
          <w:highlight w:val="none"/>
        </w:rPr>
        <w:t>3</w:t>
      </w:r>
      <w:r>
        <w:rPr>
          <w:rFonts w:hint="eastAsia" w:ascii="Times New Roman" w:hAnsi="Times New Roman"/>
          <w:color w:val="auto"/>
          <w:sz w:val="24"/>
          <w:szCs w:val="24"/>
          <w:highlight w:val="none"/>
        </w:rPr>
        <w:t>外墙内保温复合板系统用锚固件每平方米应不少于2个，且单块复合板的锚固件数量不应少于3个。锚固件离板边距离不小于80mm，锚固件的钉头不得突出板面</w:t>
      </w:r>
      <w:r>
        <w:rPr>
          <w:rFonts w:ascii="Times New Roman" w:hAnsi="Times New Roman"/>
          <w:color w:val="auto"/>
          <w:sz w:val="24"/>
          <w:szCs w:val="24"/>
          <w:highlight w:val="none"/>
        </w:rPr>
        <w:t>。</w:t>
      </w:r>
    </w:p>
    <w:p>
      <w:pPr>
        <w:widowControl/>
        <w:spacing w:line="360" w:lineRule="auto"/>
        <w:rPr>
          <w:rFonts w:ascii="楷体" w:hAnsi="楷体" w:eastAsia="楷体"/>
          <w:color w:val="auto"/>
          <w:sz w:val="24"/>
          <w:szCs w:val="24"/>
          <w:highlight w:val="none"/>
        </w:rPr>
      </w:pPr>
      <w:r>
        <w:rPr>
          <w:rFonts w:hint="eastAsia" w:ascii="楷体" w:hAnsi="楷体" w:eastAsia="楷体"/>
          <w:color w:val="auto"/>
          <w:sz w:val="24"/>
          <w:szCs w:val="24"/>
          <w:highlight w:val="none"/>
        </w:rPr>
        <w:t>【条文说明】</w:t>
      </w:r>
      <w:r>
        <w:rPr>
          <w:rFonts w:hint="eastAsia" w:ascii="楷体" w:hAnsi="楷体" w:eastAsia="楷体"/>
          <w:color w:val="auto"/>
          <w:sz w:val="24"/>
          <w:szCs w:val="24"/>
          <w:highlight w:val="none"/>
          <w:lang w:val="en-US" w:eastAsia="zh-CN"/>
        </w:rPr>
        <w:t>5.2.4</w:t>
      </w:r>
      <w:r>
        <w:rPr>
          <w:rFonts w:hint="eastAsia" w:ascii="楷体" w:hAnsi="楷体" w:eastAsia="楷体"/>
          <w:color w:val="auto"/>
          <w:sz w:val="24"/>
          <w:szCs w:val="24"/>
          <w:highlight w:val="none"/>
        </w:rPr>
        <w:t>本条文规定了复合板内保温系统锚栓的相关要求。1、2款分别规定了锚栓的材质和锚固深度和锚栓类型。3款规定了锚栓的数量和锚固注意事项。</w:t>
      </w:r>
    </w:p>
    <w:p>
      <w:pPr>
        <w:spacing w:line="360" w:lineRule="auto"/>
        <w:ind w:firstLine="480" w:firstLineChars="200"/>
        <w:jc w:val="left"/>
        <w:rPr>
          <w:rFonts w:asciiTheme="majorEastAsia" w:hAnsiTheme="majorEastAsia" w:eastAsiaTheme="majorEastAsia"/>
          <w:color w:val="auto"/>
          <w:sz w:val="24"/>
          <w:szCs w:val="24"/>
          <w:highlight w:val="none"/>
        </w:rPr>
      </w:pPr>
      <w:r>
        <w:rPr>
          <w:rFonts w:hint="eastAsia" w:ascii="楷体" w:hAnsi="楷体" w:eastAsia="楷体"/>
          <w:color w:val="auto"/>
          <w:sz w:val="24"/>
          <w:szCs w:val="24"/>
          <w:highlight w:val="none"/>
        </w:rPr>
        <w:t>内保温复合板系统用锚栓每平方米应不少于6个,是基于复合保温板材的规格为1米X 1米计算得出的，具体工程要根据采用的复合保温板材的规格进行排版，在拼缝的“丁”字交叉处应设置锚栓，最后确定每平方米总的锚栓个数。</w:t>
      </w:r>
      <w:bookmarkStart w:id="210" w:name="_Toc17565"/>
    </w:p>
    <w:p>
      <w:pPr>
        <w:spacing w:line="360" w:lineRule="auto"/>
        <w:outlineLvl w:val="2"/>
        <w:rPr>
          <w:rFonts w:asciiTheme="majorEastAsia" w:hAnsiTheme="majorEastAsia" w:eastAsiaTheme="majorEastAsia"/>
          <w:color w:val="auto"/>
          <w:sz w:val="24"/>
          <w:szCs w:val="24"/>
          <w:highlight w:val="none"/>
        </w:rPr>
      </w:pPr>
      <w:r>
        <w:rPr>
          <w:rFonts w:asciiTheme="majorEastAsia" w:hAnsiTheme="majorEastAsia" w:eastAsiaTheme="majorEastAsia"/>
          <w:color w:val="auto"/>
          <w:sz w:val="24"/>
          <w:szCs w:val="24"/>
          <w:highlight w:val="none"/>
        </w:rPr>
        <w:t xml:space="preserve">5.2.5 </w:t>
      </w:r>
      <w:r>
        <w:rPr>
          <w:rFonts w:hint="eastAsia" w:asciiTheme="majorEastAsia" w:hAnsiTheme="majorEastAsia" w:eastAsiaTheme="majorEastAsia"/>
          <w:color w:val="auto"/>
          <w:sz w:val="24"/>
          <w:szCs w:val="24"/>
          <w:highlight w:val="none"/>
        </w:rPr>
        <w:t>基层墙体</w:t>
      </w:r>
      <w:r>
        <w:rPr>
          <w:rFonts w:asciiTheme="majorEastAsia" w:hAnsiTheme="majorEastAsia" w:eastAsiaTheme="majorEastAsia"/>
          <w:color w:val="auto"/>
          <w:sz w:val="24"/>
          <w:szCs w:val="24"/>
          <w:highlight w:val="none"/>
        </w:rPr>
        <w:t>阴角和阳角处的复合板，应做切边处理。</w:t>
      </w:r>
      <w:bookmarkEnd w:id="210"/>
    </w:p>
    <w:p>
      <w:pPr>
        <w:spacing w:line="360" w:lineRule="auto"/>
        <w:rPr>
          <w:rFonts w:asciiTheme="majorEastAsia" w:hAnsiTheme="majorEastAsia" w:eastAsiaTheme="majorEastAsia"/>
          <w:color w:val="auto"/>
          <w:sz w:val="24"/>
          <w:szCs w:val="24"/>
          <w:highlight w:val="none"/>
        </w:rPr>
      </w:pPr>
      <w:r>
        <w:rPr>
          <w:rFonts w:hint="eastAsia" w:ascii="楷体" w:hAnsi="楷体" w:eastAsia="楷体"/>
          <w:color w:val="auto"/>
          <w:sz w:val="24"/>
          <w:szCs w:val="24"/>
          <w:highlight w:val="none"/>
        </w:rPr>
        <w:t>【条文</w:t>
      </w:r>
      <w:r>
        <w:rPr>
          <w:rFonts w:ascii="楷体" w:hAnsi="楷体" w:eastAsia="楷体"/>
          <w:color w:val="auto"/>
          <w:sz w:val="24"/>
          <w:szCs w:val="24"/>
          <w:highlight w:val="none"/>
        </w:rPr>
        <w:t>说明</w:t>
      </w:r>
      <w:r>
        <w:rPr>
          <w:rFonts w:hint="eastAsia" w:ascii="楷体" w:hAnsi="楷体" w:eastAsia="楷体"/>
          <w:color w:val="auto"/>
          <w:sz w:val="24"/>
          <w:szCs w:val="24"/>
          <w:highlight w:val="none"/>
        </w:rPr>
        <w:t>】</w:t>
      </w:r>
      <w:r>
        <w:rPr>
          <w:rFonts w:hint="eastAsia" w:ascii="楷体" w:hAnsi="楷体" w:eastAsia="楷体"/>
          <w:color w:val="auto"/>
          <w:sz w:val="24"/>
          <w:szCs w:val="24"/>
          <w:highlight w:val="none"/>
          <w:lang w:val="en-US" w:eastAsia="zh-CN"/>
        </w:rPr>
        <w:t>5.2.5</w:t>
      </w:r>
      <w:r>
        <w:rPr>
          <w:rFonts w:hint="eastAsia" w:ascii="楷体" w:hAnsi="楷体" w:eastAsia="楷体"/>
          <w:color w:val="auto"/>
          <w:sz w:val="24"/>
          <w:szCs w:val="24"/>
          <w:highlight w:val="none"/>
        </w:rPr>
        <w:t>阴角和阳角处的保温板，应做切边处理，以便保温层闭合。</w:t>
      </w:r>
      <w:bookmarkStart w:id="211" w:name="_Toc15220"/>
    </w:p>
    <w:p>
      <w:pPr>
        <w:spacing w:line="360" w:lineRule="auto"/>
        <w:outlineLvl w:val="2"/>
        <w:rPr>
          <w:rFonts w:asciiTheme="majorEastAsia" w:hAnsiTheme="majorEastAsia" w:eastAsiaTheme="majorEastAsia"/>
          <w:color w:val="auto"/>
          <w:sz w:val="24"/>
          <w:szCs w:val="24"/>
          <w:highlight w:val="none"/>
        </w:rPr>
      </w:pPr>
      <w:r>
        <w:rPr>
          <w:rFonts w:asciiTheme="majorEastAsia" w:hAnsiTheme="majorEastAsia" w:eastAsiaTheme="majorEastAsia"/>
          <w:color w:val="auto"/>
          <w:sz w:val="24"/>
          <w:szCs w:val="24"/>
          <w:highlight w:val="none"/>
        </w:rPr>
        <w:t xml:space="preserve">5.2.6 </w:t>
      </w:r>
      <w:r>
        <w:rPr>
          <w:rFonts w:hint="eastAsia" w:asciiTheme="majorEastAsia" w:hAnsiTheme="majorEastAsia" w:eastAsiaTheme="majorEastAsia"/>
          <w:color w:val="auto"/>
          <w:sz w:val="24"/>
          <w:szCs w:val="24"/>
          <w:highlight w:val="none"/>
        </w:rPr>
        <w:t>复合</w:t>
      </w:r>
      <w:r>
        <w:rPr>
          <w:rFonts w:asciiTheme="majorEastAsia" w:hAnsiTheme="majorEastAsia" w:eastAsiaTheme="majorEastAsia"/>
          <w:color w:val="auto"/>
          <w:sz w:val="24"/>
          <w:szCs w:val="24"/>
          <w:highlight w:val="none"/>
        </w:rPr>
        <w:t>板</w:t>
      </w:r>
      <w:r>
        <w:rPr>
          <w:rFonts w:hint="eastAsia" w:asciiTheme="majorEastAsia" w:hAnsiTheme="majorEastAsia" w:eastAsiaTheme="majorEastAsia"/>
          <w:color w:val="auto"/>
          <w:sz w:val="24"/>
          <w:szCs w:val="24"/>
          <w:highlight w:val="none"/>
        </w:rPr>
        <w:t>内保温</w:t>
      </w:r>
      <w:r>
        <w:rPr>
          <w:rFonts w:asciiTheme="majorEastAsia" w:hAnsiTheme="majorEastAsia" w:eastAsiaTheme="majorEastAsia"/>
          <w:color w:val="auto"/>
          <w:sz w:val="24"/>
          <w:szCs w:val="24"/>
          <w:highlight w:val="none"/>
        </w:rPr>
        <w:t>系统接缝处理应符合下列规定：</w:t>
      </w:r>
      <w:bookmarkEnd w:id="211"/>
    </w:p>
    <w:p>
      <w:pPr>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1</w:t>
      </w:r>
      <w:r>
        <w:rPr>
          <w:rFonts w:hint="eastAsia" w:ascii="Times New Roman" w:hAnsi="Times New Roman"/>
          <w:color w:val="auto"/>
          <w:sz w:val="24"/>
          <w:szCs w:val="24"/>
          <w:highlight w:val="none"/>
        </w:rPr>
        <w:t>以纸面石膏板为面板的复合板板间接缝和阴角应采用接缝纸带，并采用嵌缝石膏粘贴牢固，</w:t>
      </w:r>
      <w:r>
        <w:rPr>
          <w:rFonts w:ascii="Times New Roman" w:hAnsi="Times New Roman"/>
          <w:color w:val="auto"/>
          <w:sz w:val="24"/>
          <w:szCs w:val="24"/>
          <w:highlight w:val="none"/>
        </w:rPr>
        <w:t>阳角宜采用金属护角纸带</w:t>
      </w:r>
      <w:r>
        <w:rPr>
          <w:rFonts w:hint="eastAsia" w:ascii="Times New Roman" w:hAnsi="Times New Roman"/>
          <w:color w:val="auto"/>
          <w:sz w:val="24"/>
          <w:szCs w:val="24"/>
          <w:highlight w:val="none"/>
        </w:rPr>
        <w:t>，</w:t>
      </w:r>
      <w:r>
        <w:rPr>
          <w:rFonts w:ascii="Times New Roman" w:hAnsi="Times New Roman"/>
          <w:color w:val="auto"/>
          <w:sz w:val="24"/>
          <w:szCs w:val="24"/>
          <w:highlight w:val="none"/>
        </w:rPr>
        <w:t>绘制节点详图时应标明接缝纸带、金属护角纸带，见图</w:t>
      </w:r>
      <w:r>
        <w:rPr>
          <w:rFonts w:hint="eastAsia" w:ascii="Times New Roman" w:hAnsi="Times New Roman"/>
          <w:color w:val="auto"/>
          <w:sz w:val="24"/>
          <w:szCs w:val="24"/>
          <w:highlight w:val="none"/>
        </w:rPr>
        <w:t>5.2.</w:t>
      </w:r>
      <w:r>
        <w:rPr>
          <w:rFonts w:ascii="Times New Roman" w:hAnsi="Times New Roman"/>
          <w:color w:val="auto"/>
          <w:sz w:val="24"/>
          <w:szCs w:val="24"/>
          <w:highlight w:val="none"/>
        </w:rPr>
        <w:t>6</w:t>
      </w:r>
      <w:r>
        <w:rPr>
          <w:rFonts w:hint="eastAsia" w:ascii="Times New Roman" w:hAnsi="Times New Roman"/>
          <w:color w:val="auto"/>
          <w:sz w:val="24"/>
          <w:szCs w:val="24"/>
          <w:highlight w:val="none"/>
        </w:rPr>
        <w:t>-1、</w:t>
      </w:r>
      <w:r>
        <w:rPr>
          <w:rFonts w:ascii="Times New Roman" w:hAnsi="Times New Roman"/>
          <w:color w:val="auto"/>
          <w:sz w:val="24"/>
          <w:szCs w:val="24"/>
          <w:highlight w:val="none"/>
        </w:rPr>
        <w:t>图</w:t>
      </w:r>
      <w:r>
        <w:rPr>
          <w:rFonts w:hint="eastAsia" w:ascii="Times New Roman" w:hAnsi="Times New Roman"/>
          <w:color w:val="auto"/>
          <w:sz w:val="24"/>
          <w:szCs w:val="24"/>
          <w:highlight w:val="none"/>
        </w:rPr>
        <w:t>5.2.</w:t>
      </w:r>
      <w:r>
        <w:rPr>
          <w:rFonts w:ascii="Times New Roman" w:hAnsi="Times New Roman"/>
          <w:color w:val="auto"/>
          <w:sz w:val="24"/>
          <w:szCs w:val="24"/>
          <w:highlight w:val="none"/>
        </w:rPr>
        <w:t>6</w:t>
      </w:r>
      <w:r>
        <w:rPr>
          <w:rFonts w:hint="eastAsia" w:ascii="Times New Roman" w:hAnsi="Times New Roman"/>
          <w:color w:val="auto"/>
          <w:sz w:val="24"/>
          <w:szCs w:val="24"/>
          <w:highlight w:val="none"/>
        </w:rPr>
        <w:t>-2、5.4.</w:t>
      </w:r>
      <w:r>
        <w:rPr>
          <w:rFonts w:ascii="Times New Roman" w:hAnsi="Times New Roman"/>
          <w:color w:val="auto"/>
          <w:sz w:val="24"/>
          <w:szCs w:val="24"/>
          <w:highlight w:val="none"/>
        </w:rPr>
        <w:t>6</w:t>
      </w:r>
      <w:r>
        <w:rPr>
          <w:rFonts w:hint="eastAsia" w:ascii="Times New Roman" w:hAnsi="Times New Roman"/>
          <w:color w:val="auto"/>
          <w:sz w:val="24"/>
          <w:szCs w:val="24"/>
          <w:highlight w:val="none"/>
        </w:rPr>
        <w:t>-3。</w:t>
      </w:r>
    </w:p>
    <w:p>
      <w:pPr>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2</w:t>
      </w:r>
      <w:r>
        <w:rPr>
          <w:rFonts w:hint="eastAsia" w:ascii="Times New Roman" w:hAnsi="Times New Roman"/>
          <w:color w:val="auto"/>
          <w:sz w:val="24"/>
          <w:szCs w:val="24"/>
          <w:highlight w:val="none"/>
        </w:rPr>
        <w:t>以无石棉纤维水泥平板或无石棉硅酸钙板为面板的复合板板间接缝和阴角宜采用耐碱玻纤网，并采用柔性勾缝腻子粘贴牢固</w:t>
      </w:r>
      <w:r>
        <w:rPr>
          <w:rFonts w:ascii="Times New Roman" w:hAnsi="Times New Roman"/>
          <w:color w:val="auto"/>
          <w:sz w:val="24"/>
          <w:szCs w:val="24"/>
          <w:highlight w:val="none"/>
        </w:rPr>
        <w:t>。</w:t>
      </w:r>
    </w:p>
    <w:p>
      <w:pPr>
        <w:spacing w:line="360" w:lineRule="auto"/>
        <w:ind w:firstLine="480" w:firstLineChars="200"/>
        <w:rPr>
          <w:rFonts w:ascii="Times New Roman" w:hAnsi="Times New Roman"/>
          <w:color w:val="auto"/>
          <w:sz w:val="24"/>
          <w:szCs w:val="24"/>
          <w:highlight w:val="none"/>
        </w:rPr>
      </w:pPr>
      <w:r>
        <w:rPr>
          <w:rFonts w:hint="eastAsia" w:ascii="Times New Roman" w:hAnsi="Times New Roman"/>
          <w:color w:val="auto"/>
          <w:sz w:val="24"/>
          <w:szCs w:val="24"/>
          <w:highlight w:val="none"/>
        </w:rPr>
        <w:t>3阳角宜采用成品护角，当面板为纸面石膏板时，采用嵌缝石膏满粘牢固;当面板为无石棉纤维水泥平板或无石棉硅酸钙板时，采用柔性勾缝腻子满粘牢固。</w:t>
      </w:r>
    </w:p>
    <w:p>
      <w:pPr>
        <w:spacing w:line="360" w:lineRule="auto"/>
        <w:ind w:firstLine="480" w:firstLineChars="200"/>
        <w:rPr>
          <w:rFonts w:ascii="Times New Roman" w:hAnsi="Times New Roman"/>
          <w:color w:val="auto"/>
          <w:sz w:val="24"/>
          <w:szCs w:val="24"/>
          <w:highlight w:val="none"/>
        </w:rPr>
      </w:pPr>
      <w:r>
        <w:rPr>
          <w:rFonts w:hint="eastAsia" w:ascii="Times New Roman" w:hAnsi="Times New Roman"/>
          <w:color w:val="auto"/>
          <w:sz w:val="24"/>
          <w:szCs w:val="24"/>
          <w:highlight w:val="none"/>
        </w:rPr>
        <w:t>4复合板之间的接缝不得位于门窗洞口四角处，且距洞口四角不</w:t>
      </w:r>
      <w:r>
        <w:rPr>
          <w:rFonts w:hint="eastAsia" w:ascii="Times New Roman" w:hAnsi="Times New Roman"/>
          <w:color w:val="auto"/>
          <w:sz w:val="24"/>
          <w:szCs w:val="24"/>
          <w:highlight w:val="none"/>
          <w:lang w:val="en-US" w:eastAsia="zh-CN"/>
        </w:rPr>
        <w:t>应</w:t>
      </w:r>
      <w:r>
        <w:rPr>
          <w:rFonts w:hint="eastAsia" w:ascii="Times New Roman" w:hAnsi="Times New Roman"/>
          <w:color w:val="auto"/>
          <w:sz w:val="24"/>
          <w:szCs w:val="24"/>
          <w:highlight w:val="none"/>
        </w:rPr>
        <w:t>小于300mm。</w:t>
      </w:r>
    </w:p>
    <w:p>
      <w:pPr>
        <w:spacing w:line="360" w:lineRule="auto"/>
        <w:rPr>
          <w:color w:val="auto"/>
          <w:highlight w:val="none"/>
        </w:rPr>
      </w:pPr>
    </w:p>
    <w:p>
      <w:pPr>
        <w:spacing w:line="360" w:lineRule="auto"/>
        <w:rPr>
          <w:color w:val="auto"/>
          <w:highlight w:val="none"/>
        </w:rPr>
      </w:pPr>
      <w:r>
        <w:rPr>
          <w:color w:val="auto"/>
          <w:highlight w:val="none"/>
        </w:rPr>
        <w:drawing>
          <wp:inline distT="0" distB="0" distL="0" distR="0">
            <wp:extent cx="5057140" cy="3232150"/>
            <wp:effectExtent l="0" t="0" r="0" b="0"/>
            <wp:docPr id="314"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314"/>
                    <pic:cNvPicPr>
                      <a:picLocks noChangeAspect="1"/>
                    </pic:cNvPicPr>
                  </pic:nvPicPr>
                  <pic:blipFill>
                    <a:blip r:embed="rId18"/>
                    <a:srcRect t="12551" b="15772"/>
                    <a:stretch>
                      <a:fillRect/>
                    </a:stretch>
                  </pic:blipFill>
                  <pic:spPr>
                    <a:xfrm>
                      <a:off x="0" y="0"/>
                      <a:ext cx="5057140" cy="3232150"/>
                    </a:xfrm>
                    <a:prstGeom prst="rect">
                      <a:avLst/>
                    </a:prstGeom>
                  </pic:spPr>
                </pic:pic>
              </a:graphicData>
            </a:graphic>
          </wp:inline>
        </w:drawing>
      </w:r>
    </w:p>
    <w:p>
      <w:pPr>
        <w:widowControl/>
        <w:spacing w:line="360" w:lineRule="auto"/>
        <w:ind w:firstLine="420"/>
        <w:jc w:val="center"/>
        <w:rPr>
          <w:rFonts w:hint="default" w:ascii="Times New Roman" w:hAnsi="Times New Roman" w:eastAsia="宋体"/>
          <w:color w:val="auto"/>
          <w:sz w:val="24"/>
          <w:szCs w:val="24"/>
          <w:highlight w:val="none"/>
          <w:lang w:val="en-US" w:eastAsia="zh-CN"/>
        </w:rPr>
      </w:pPr>
      <w:r>
        <w:rPr>
          <w:rFonts w:hint="eastAsia" w:ascii="Times New Roman" w:hAnsi="Times New Roman"/>
          <w:color w:val="auto"/>
          <w:sz w:val="24"/>
          <w:szCs w:val="24"/>
          <w:highlight w:val="none"/>
          <w:lang w:val="en-US" w:eastAsia="zh-CN"/>
        </w:rPr>
        <w:t>1-基层墙体  2-复合板  3-接缝</w:t>
      </w:r>
    </w:p>
    <w:p>
      <w:pPr>
        <w:widowControl/>
        <w:spacing w:line="360" w:lineRule="auto"/>
        <w:ind w:firstLine="420"/>
        <w:jc w:val="center"/>
        <w:rPr>
          <w:rFonts w:ascii="Times New Roman" w:hAnsi="Times New Roman"/>
          <w:color w:val="auto"/>
          <w:sz w:val="24"/>
          <w:szCs w:val="24"/>
          <w:highlight w:val="none"/>
        </w:rPr>
      </w:pPr>
      <w:r>
        <w:rPr>
          <w:rFonts w:hint="eastAsia" w:ascii="Times New Roman" w:hAnsi="Times New Roman"/>
          <w:color w:val="auto"/>
          <w:sz w:val="24"/>
          <w:szCs w:val="24"/>
          <w:highlight w:val="none"/>
        </w:rPr>
        <w:t>图5</w:t>
      </w:r>
      <w:r>
        <w:rPr>
          <w:rFonts w:ascii="Times New Roman" w:hAnsi="Times New Roman"/>
          <w:color w:val="auto"/>
          <w:sz w:val="24"/>
          <w:szCs w:val="24"/>
          <w:highlight w:val="none"/>
        </w:rPr>
        <w:t>.</w:t>
      </w:r>
      <w:r>
        <w:rPr>
          <w:rFonts w:hint="eastAsia" w:ascii="Times New Roman" w:hAnsi="Times New Roman"/>
          <w:color w:val="auto"/>
          <w:sz w:val="24"/>
          <w:szCs w:val="24"/>
          <w:highlight w:val="none"/>
          <w:lang w:val="en-US" w:eastAsia="zh-CN"/>
        </w:rPr>
        <w:t>2</w:t>
      </w:r>
      <w:r>
        <w:rPr>
          <w:rFonts w:ascii="Times New Roman" w:hAnsi="Times New Roman"/>
          <w:color w:val="auto"/>
          <w:sz w:val="24"/>
          <w:szCs w:val="24"/>
          <w:highlight w:val="none"/>
        </w:rPr>
        <w:t>.</w:t>
      </w:r>
      <w:r>
        <w:rPr>
          <w:rFonts w:hint="eastAsia" w:ascii="Times New Roman" w:hAnsi="Times New Roman"/>
          <w:color w:val="auto"/>
          <w:sz w:val="24"/>
          <w:szCs w:val="24"/>
          <w:highlight w:val="none"/>
          <w:lang w:val="en-US" w:eastAsia="zh-CN"/>
        </w:rPr>
        <w:t>6</w:t>
      </w:r>
      <w:r>
        <w:rPr>
          <w:rFonts w:ascii="Times New Roman" w:hAnsi="Times New Roman"/>
          <w:color w:val="auto"/>
          <w:sz w:val="24"/>
          <w:szCs w:val="24"/>
          <w:highlight w:val="none"/>
        </w:rPr>
        <w:t>-1</w:t>
      </w:r>
      <w:r>
        <w:rPr>
          <w:rFonts w:hint="eastAsia" w:ascii="Times New Roman" w:hAnsi="Times New Roman"/>
          <w:color w:val="auto"/>
          <w:sz w:val="24"/>
          <w:szCs w:val="24"/>
          <w:highlight w:val="none"/>
        </w:rPr>
        <w:t>门窗洞口保温构造节点</w:t>
      </w:r>
    </w:p>
    <w:p>
      <w:pPr>
        <w:spacing w:line="360" w:lineRule="auto"/>
        <w:rPr>
          <w:color w:val="auto"/>
          <w:highlight w:val="none"/>
        </w:rPr>
      </w:pPr>
    </w:p>
    <w:p>
      <w:pPr>
        <w:spacing w:line="360" w:lineRule="auto"/>
        <w:rPr>
          <w:color w:val="auto"/>
          <w:highlight w:val="none"/>
        </w:rPr>
      </w:pPr>
      <w:r>
        <w:rPr>
          <w:color w:val="auto"/>
          <w:highlight w:val="none"/>
        </w:rPr>
        <w:drawing>
          <wp:inline distT="0" distB="0" distL="0" distR="0">
            <wp:extent cx="5034915" cy="3500120"/>
            <wp:effectExtent l="0" t="0" r="0" b="0"/>
            <wp:docPr id="315"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315"/>
                    <pic:cNvPicPr>
                      <a:picLocks noChangeAspect="1"/>
                    </pic:cNvPicPr>
                  </pic:nvPicPr>
                  <pic:blipFill>
                    <a:blip r:embed="rId19"/>
                    <a:srcRect t="5810" b="23380"/>
                    <a:stretch>
                      <a:fillRect/>
                    </a:stretch>
                  </pic:blipFill>
                  <pic:spPr>
                    <a:xfrm>
                      <a:off x="0" y="0"/>
                      <a:ext cx="5034915" cy="3500120"/>
                    </a:xfrm>
                    <a:prstGeom prst="rect">
                      <a:avLst/>
                    </a:prstGeom>
                  </pic:spPr>
                </pic:pic>
              </a:graphicData>
            </a:graphic>
          </wp:inline>
        </w:drawing>
      </w:r>
    </w:p>
    <w:p>
      <w:pPr>
        <w:widowControl/>
        <w:spacing w:line="360" w:lineRule="auto"/>
        <w:ind w:firstLine="420"/>
        <w:jc w:val="center"/>
        <w:rPr>
          <w:rFonts w:hint="default" w:ascii="Times New Roman" w:hAnsi="Times New Roman" w:eastAsia="宋体"/>
          <w:color w:val="auto"/>
          <w:sz w:val="24"/>
          <w:szCs w:val="24"/>
          <w:highlight w:val="none"/>
          <w:lang w:val="en-US" w:eastAsia="zh-CN"/>
        </w:rPr>
      </w:pPr>
      <w:r>
        <w:rPr>
          <w:rFonts w:hint="eastAsia" w:ascii="Times New Roman" w:hAnsi="Times New Roman"/>
          <w:color w:val="auto"/>
          <w:sz w:val="24"/>
          <w:szCs w:val="24"/>
          <w:highlight w:val="none"/>
          <w:lang w:val="en-US" w:eastAsia="zh-CN"/>
        </w:rPr>
        <w:t>1-外墙基层墙体  2-复合板  3-金属护角带</w:t>
      </w:r>
    </w:p>
    <w:p>
      <w:pPr>
        <w:widowControl/>
        <w:spacing w:line="360" w:lineRule="auto"/>
        <w:ind w:firstLine="420"/>
        <w:jc w:val="center"/>
        <w:rPr>
          <w:rFonts w:hint="default" w:ascii="Times New Roman" w:hAnsi="Times New Roman"/>
          <w:color w:val="auto"/>
          <w:sz w:val="24"/>
          <w:szCs w:val="24"/>
          <w:highlight w:val="none"/>
          <w:lang w:val="en-US"/>
        </w:rPr>
      </w:pPr>
      <w:r>
        <w:rPr>
          <w:rFonts w:hint="eastAsia" w:ascii="Times New Roman" w:hAnsi="Times New Roman"/>
          <w:color w:val="auto"/>
          <w:sz w:val="24"/>
          <w:szCs w:val="24"/>
          <w:highlight w:val="none"/>
        </w:rPr>
        <w:t>图5</w:t>
      </w:r>
      <w:r>
        <w:rPr>
          <w:rFonts w:ascii="Times New Roman" w:hAnsi="Times New Roman"/>
          <w:color w:val="auto"/>
          <w:sz w:val="24"/>
          <w:szCs w:val="24"/>
          <w:highlight w:val="none"/>
        </w:rPr>
        <w:t>.</w:t>
      </w:r>
      <w:r>
        <w:rPr>
          <w:rFonts w:hint="eastAsia" w:ascii="Times New Roman" w:hAnsi="Times New Roman"/>
          <w:color w:val="auto"/>
          <w:sz w:val="24"/>
          <w:szCs w:val="24"/>
          <w:highlight w:val="none"/>
          <w:lang w:val="en-US" w:eastAsia="zh-CN"/>
        </w:rPr>
        <w:t>2</w:t>
      </w:r>
      <w:r>
        <w:rPr>
          <w:rFonts w:ascii="Times New Roman" w:hAnsi="Times New Roman"/>
          <w:color w:val="auto"/>
          <w:sz w:val="24"/>
          <w:szCs w:val="24"/>
          <w:highlight w:val="none"/>
        </w:rPr>
        <w:t>.</w:t>
      </w:r>
      <w:r>
        <w:rPr>
          <w:rFonts w:hint="eastAsia" w:ascii="Times New Roman" w:hAnsi="Times New Roman"/>
          <w:color w:val="auto"/>
          <w:sz w:val="24"/>
          <w:szCs w:val="24"/>
          <w:highlight w:val="none"/>
          <w:lang w:val="en-US" w:eastAsia="zh-CN"/>
        </w:rPr>
        <w:t>6</w:t>
      </w:r>
      <w:r>
        <w:rPr>
          <w:rFonts w:ascii="Times New Roman" w:hAnsi="Times New Roman"/>
          <w:color w:val="auto"/>
          <w:sz w:val="24"/>
          <w:szCs w:val="24"/>
          <w:highlight w:val="none"/>
        </w:rPr>
        <w:t>-</w:t>
      </w:r>
      <w:r>
        <w:rPr>
          <w:rFonts w:hint="eastAsia" w:ascii="Times New Roman" w:hAnsi="Times New Roman"/>
          <w:color w:val="auto"/>
          <w:sz w:val="24"/>
          <w:szCs w:val="24"/>
          <w:highlight w:val="none"/>
          <w:lang w:val="en-US" w:eastAsia="zh-CN"/>
        </w:rPr>
        <w:t>2复合板外墙内保温系统阳角</w:t>
      </w:r>
    </w:p>
    <w:p>
      <w:pPr>
        <w:spacing w:line="360" w:lineRule="auto"/>
        <w:rPr>
          <w:color w:val="auto"/>
          <w:highlight w:val="none"/>
        </w:rPr>
      </w:pPr>
    </w:p>
    <w:p>
      <w:pPr>
        <w:spacing w:line="360" w:lineRule="auto"/>
        <w:rPr>
          <w:rFonts w:ascii="Times New Roman" w:hAnsi="Times New Roman"/>
          <w:b/>
          <w:color w:val="auto"/>
          <w:sz w:val="24"/>
          <w:szCs w:val="24"/>
          <w:highlight w:val="none"/>
        </w:rPr>
      </w:pPr>
      <w:r>
        <w:rPr>
          <w:color w:val="auto"/>
          <w:highlight w:val="none"/>
        </w:rPr>
        <w:drawing>
          <wp:inline distT="0" distB="0" distL="0" distR="0">
            <wp:extent cx="5591810" cy="3415030"/>
            <wp:effectExtent l="0" t="0" r="0" b="0"/>
            <wp:docPr id="316"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316"/>
                    <pic:cNvPicPr>
                      <a:picLocks noChangeAspect="1"/>
                    </pic:cNvPicPr>
                  </pic:nvPicPr>
                  <pic:blipFill>
                    <a:blip r:embed="rId20"/>
                    <a:srcRect b="23543"/>
                    <a:stretch>
                      <a:fillRect/>
                    </a:stretch>
                  </pic:blipFill>
                  <pic:spPr>
                    <a:xfrm>
                      <a:off x="0" y="0"/>
                      <a:ext cx="5591810" cy="3415030"/>
                    </a:xfrm>
                    <a:prstGeom prst="rect">
                      <a:avLst/>
                    </a:prstGeom>
                  </pic:spPr>
                </pic:pic>
              </a:graphicData>
            </a:graphic>
          </wp:inline>
        </w:drawing>
      </w:r>
    </w:p>
    <w:p>
      <w:pPr>
        <w:widowControl/>
        <w:spacing w:line="360" w:lineRule="auto"/>
        <w:ind w:firstLine="420"/>
        <w:jc w:val="center"/>
        <w:rPr>
          <w:rFonts w:hint="default" w:ascii="Times New Roman" w:hAnsi="Times New Roman" w:eastAsia="宋体"/>
          <w:color w:val="auto"/>
          <w:sz w:val="24"/>
          <w:szCs w:val="24"/>
          <w:highlight w:val="none"/>
          <w:lang w:val="en-US" w:eastAsia="zh-CN"/>
        </w:rPr>
      </w:pPr>
      <w:bookmarkStart w:id="212" w:name="_Toc14110"/>
      <w:r>
        <w:rPr>
          <w:rFonts w:hint="eastAsia" w:ascii="Times New Roman" w:hAnsi="Times New Roman"/>
          <w:color w:val="auto"/>
          <w:sz w:val="24"/>
          <w:szCs w:val="24"/>
          <w:highlight w:val="none"/>
          <w:lang w:val="en-US" w:eastAsia="zh-CN"/>
        </w:rPr>
        <w:t>1-外墙基层墙体  2-复合板  3-接缝纸带</w:t>
      </w:r>
    </w:p>
    <w:p>
      <w:pPr>
        <w:widowControl/>
        <w:spacing w:line="360" w:lineRule="auto"/>
        <w:ind w:firstLine="420"/>
        <w:jc w:val="center"/>
        <w:rPr>
          <w:rFonts w:ascii="Times New Roman" w:hAnsi="Times New Roman"/>
          <w:color w:val="auto"/>
          <w:sz w:val="24"/>
          <w:szCs w:val="24"/>
          <w:highlight w:val="none"/>
        </w:rPr>
      </w:pPr>
      <w:r>
        <w:rPr>
          <w:rFonts w:hint="eastAsia" w:ascii="Times New Roman" w:hAnsi="Times New Roman"/>
          <w:color w:val="auto"/>
          <w:sz w:val="24"/>
          <w:szCs w:val="24"/>
          <w:highlight w:val="none"/>
        </w:rPr>
        <w:t>图5</w:t>
      </w:r>
      <w:r>
        <w:rPr>
          <w:rFonts w:ascii="Times New Roman" w:hAnsi="Times New Roman"/>
          <w:color w:val="auto"/>
          <w:sz w:val="24"/>
          <w:szCs w:val="24"/>
          <w:highlight w:val="none"/>
        </w:rPr>
        <w:t>.</w:t>
      </w:r>
      <w:r>
        <w:rPr>
          <w:rFonts w:hint="eastAsia" w:ascii="Times New Roman" w:hAnsi="Times New Roman"/>
          <w:color w:val="auto"/>
          <w:sz w:val="24"/>
          <w:szCs w:val="24"/>
          <w:highlight w:val="none"/>
          <w:lang w:val="en-US" w:eastAsia="zh-CN"/>
        </w:rPr>
        <w:t>2</w:t>
      </w:r>
      <w:r>
        <w:rPr>
          <w:rFonts w:ascii="Times New Roman" w:hAnsi="Times New Roman"/>
          <w:color w:val="auto"/>
          <w:sz w:val="24"/>
          <w:szCs w:val="24"/>
          <w:highlight w:val="none"/>
        </w:rPr>
        <w:t>.</w:t>
      </w:r>
      <w:r>
        <w:rPr>
          <w:rFonts w:hint="eastAsia" w:ascii="Times New Roman" w:hAnsi="Times New Roman"/>
          <w:color w:val="auto"/>
          <w:sz w:val="24"/>
          <w:szCs w:val="24"/>
          <w:highlight w:val="none"/>
          <w:lang w:val="en-US" w:eastAsia="zh-CN"/>
        </w:rPr>
        <w:t>6</w:t>
      </w:r>
      <w:r>
        <w:rPr>
          <w:rFonts w:ascii="Times New Roman" w:hAnsi="Times New Roman"/>
          <w:color w:val="auto"/>
          <w:sz w:val="24"/>
          <w:szCs w:val="24"/>
          <w:highlight w:val="none"/>
        </w:rPr>
        <w:t>-</w:t>
      </w:r>
      <w:r>
        <w:rPr>
          <w:rFonts w:hint="eastAsia" w:ascii="Times New Roman" w:hAnsi="Times New Roman"/>
          <w:color w:val="auto"/>
          <w:sz w:val="24"/>
          <w:szCs w:val="24"/>
          <w:highlight w:val="none"/>
          <w:lang w:val="en-US" w:eastAsia="zh-CN"/>
        </w:rPr>
        <w:t>2复合板外墙内保温系统板间接缝</w:t>
      </w:r>
    </w:p>
    <w:p>
      <w:pPr>
        <w:spacing w:line="360" w:lineRule="auto"/>
        <w:rPr>
          <w:rFonts w:asciiTheme="majorEastAsia" w:hAnsiTheme="majorEastAsia" w:eastAsiaTheme="majorEastAsia"/>
          <w:color w:val="auto"/>
          <w:sz w:val="24"/>
          <w:szCs w:val="24"/>
          <w:highlight w:val="none"/>
        </w:rPr>
      </w:pPr>
    </w:p>
    <w:p>
      <w:pPr>
        <w:spacing w:line="360" w:lineRule="auto"/>
        <w:outlineLvl w:val="2"/>
        <w:rPr>
          <w:rFonts w:asciiTheme="majorEastAsia" w:hAnsiTheme="majorEastAsia" w:eastAsiaTheme="majorEastAsia"/>
          <w:color w:val="auto"/>
          <w:sz w:val="24"/>
          <w:szCs w:val="24"/>
          <w:highlight w:val="none"/>
        </w:rPr>
      </w:pPr>
      <w:r>
        <w:rPr>
          <w:rFonts w:hint="eastAsia" w:asciiTheme="majorEastAsia" w:hAnsiTheme="majorEastAsia" w:eastAsiaTheme="majorEastAsia"/>
          <w:color w:val="auto"/>
          <w:sz w:val="24"/>
          <w:szCs w:val="24"/>
          <w:highlight w:val="none"/>
        </w:rPr>
        <w:t>5.2.</w:t>
      </w:r>
      <w:r>
        <w:rPr>
          <w:rFonts w:asciiTheme="majorEastAsia" w:hAnsiTheme="majorEastAsia" w:eastAsiaTheme="majorEastAsia"/>
          <w:color w:val="auto"/>
          <w:sz w:val="24"/>
          <w:szCs w:val="24"/>
          <w:highlight w:val="none"/>
        </w:rPr>
        <w:t>7</w:t>
      </w:r>
      <w:r>
        <w:rPr>
          <w:rFonts w:hint="eastAsia" w:asciiTheme="majorEastAsia" w:hAnsiTheme="majorEastAsia" w:eastAsiaTheme="majorEastAsia"/>
          <w:color w:val="auto"/>
          <w:sz w:val="24"/>
          <w:szCs w:val="24"/>
          <w:highlight w:val="none"/>
        </w:rPr>
        <w:t xml:space="preserve"> 厨房、</w:t>
      </w:r>
      <w:r>
        <w:rPr>
          <w:rFonts w:asciiTheme="majorEastAsia" w:hAnsiTheme="majorEastAsia" w:eastAsiaTheme="majorEastAsia"/>
          <w:color w:val="auto"/>
          <w:sz w:val="24"/>
          <w:szCs w:val="24"/>
          <w:highlight w:val="none"/>
        </w:rPr>
        <w:t>卫生间外墙内保温采用</w:t>
      </w:r>
      <w:r>
        <w:rPr>
          <w:rFonts w:hint="eastAsia" w:asciiTheme="majorEastAsia" w:hAnsiTheme="majorEastAsia" w:eastAsiaTheme="majorEastAsia"/>
          <w:color w:val="auto"/>
          <w:sz w:val="24"/>
          <w:szCs w:val="24"/>
          <w:highlight w:val="none"/>
        </w:rPr>
        <w:t>节能型轻质抹灰</w:t>
      </w:r>
      <w:r>
        <w:rPr>
          <w:rFonts w:asciiTheme="majorEastAsia" w:hAnsiTheme="majorEastAsia" w:eastAsiaTheme="majorEastAsia"/>
          <w:color w:val="auto"/>
          <w:sz w:val="24"/>
          <w:szCs w:val="24"/>
          <w:highlight w:val="none"/>
        </w:rPr>
        <w:t>砂浆时，</w:t>
      </w:r>
      <w:r>
        <w:rPr>
          <w:rFonts w:hint="eastAsia" w:asciiTheme="majorEastAsia" w:hAnsiTheme="majorEastAsia" w:eastAsiaTheme="majorEastAsia"/>
          <w:color w:val="auto"/>
          <w:sz w:val="24"/>
          <w:szCs w:val="24"/>
          <w:highlight w:val="none"/>
        </w:rPr>
        <w:t>应</w:t>
      </w:r>
      <w:r>
        <w:rPr>
          <w:rFonts w:asciiTheme="majorEastAsia" w:hAnsiTheme="majorEastAsia" w:eastAsiaTheme="majorEastAsia"/>
          <w:color w:val="auto"/>
          <w:sz w:val="24"/>
          <w:szCs w:val="24"/>
          <w:highlight w:val="none"/>
        </w:rPr>
        <w:t>采取</w:t>
      </w:r>
      <w:r>
        <w:rPr>
          <w:rFonts w:hint="eastAsia" w:asciiTheme="majorEastAsia" w:hAnsiTheme="majorEastAsia" w:eastAsiaTheme="majorEastAsia"/>
          <w:color w:val="auto"/>
          <w:sz w:val="24"/>
          <w:szCs w:val="24"/>
          <w:highlight w:val="none"/>
        </w:rPr>
        <w:t>以下</w:t>
      </w:r>
      <w:r>
        <w:rPr>
          <w:rFonts w:asciiTheme="majorEastAsia" w:hAnsiTheme="majorEastAsia" w:eastAsiaTheme="majorEastAsia"/>
          <w:color w:val="auto"/>
          <w:sz w:val="24"/>
          <w:szCs w:val="24"/>
          <w:highlight w:val="none"/>
        </w:rPr>
        <w:t>措施：</w:t>
      </w:r>
      <w:bookmarkEnd w:id="212"/>
    </w:p>
    <w:p>
      <w:pPr>
        <w:spacing w:line="360" w:lineRule="auto"/>
        <w:ind w:firstLine="480" w:firstLineChars="200"/>
        <w:rPr>
          <w:rFonts w:ascii="Times New Roman" w:hAnsi="Times New Roman"/>
          <w:color w:val="auto"/>
          <w:sz w:val="24"/>
          <w:szCs w:val="24"/>
          <w:highlight w:val="none"/>
        </w:rPr>
      </w:pPr>
      <w:r>
        <w:rPr>
          <w:rFonts w:hint="eastAsia" w:ascii="Times New Roman" w:hAnsi="Times New Roman"/>
          <w:color w:val="auto"/>
          <w:sz w:val="24"/>
          <w:szCs w:val="24"/>
          <w:highlight w:val="none"/>
        </w:rPr>
        <w:t>1外墙</w:t>
      </w:r>
      <w:r>
        <w:rPr>
          <w:rFonts w:ascii="Times New Roman" w:hAnsi="Times New Roman"/>
          <w:color w:val="auto"/>
          <w:sz w:val="24"/>
          <w:szCs w:val="24"/>
          <w:highlight w:val="none"/>
        </w:rPr>
        <w:t>内表面</w:t>
      </w:r>
      <w:r>
        <w:rPr>
          <w:rFonts w:hint="eastAsia" w:ascii="Times New Roman" w:hAnsi="Times New Roman"/>
          <w:color w:val="auto"/>
          <w:sz w:val="24"/>
          <w:szCs w:val="24"/>
          <w:highlight w:val="none"/>
        </w:rPr>
        <w:t>节能型轻质抹灰</w:t>
      </w:r>
      <w:r>
        <w:rPr>
          <w:rFonts w:ascii="Times New Roman" w:hAnsi="Times New Roman"/>
          <w:color w:val="auto"/>
          <w:sz w:val="24"/>
          <w:szCs w:val="24"/>
          <w:highlight w:val="none"/>
        </w:rPr>
        <w:t>砂浆</w:t>
      </w:r>
      <w:r>
        <w:rPr>
          <w:rFonts w:hint="eastAsia" w:ascii="Times New Roman" w:hAnsi="Times New Roman"/>
          <w:color w:val="auto"/>
          <w:sz w:val="24"/>
          <w:szCs w:val="24"/>
          <w:highlight w:val="none"/>
        </w:rPr>
        <w:t>厚度应根据计算确定，并不得低于3</w:t>
      </w:r>
      <w:r>
        <w:rPr>
          <w:rFonts w:ascii="Times New Roman" w:hAnsi="Times New Roman"/>
          <w:color w:val="auto"/>
          <w:sz w:val="24"/>
          <w:szCs w:val="24"/>
          <w:highlight w:val="none"/>
        </w:rPr>
        <w:t>0</w:t>
      </w:r>
      <w:r>
        <w:rPr>
          <w:rFonts w:hint="eastAsia" w:ascii="Times New Roman" w:hAnsi="Times New Roman"/>
          <w:color w:val="auto"/>
          <w:sz w:val="24"/>
          <w:szCs w:val="24"/>
          <w:highlight w:val="none"/>
        </w:rPr>
        <w:t>mm，其热工参数取值及构造应满足相关标准规定。</w:t>
      </w:r>
    </w:p>
    <w:p>
      <w:pPr>
        <w:spacing w:line="360" w:lineRule="auto"/>
        <w:ind w:firstLine="480" w:firstLineChars="200"/>
        <w:rPr>
          <w:rFonts w:asciiTheme="majorEastAsia" w:hAnsiTheme="majorEastAsia" w:eastAsiaTheme="majorEastAsia"/>
          <w:color w:val="auto"/>
          <w:sz w:val="24"/>
          <w:szCs w:val="24"/>
          <w:highlight w:val="none"/>
        </w:rPr>
      </w:pPr>
      <w:r>
        <w:rPr>
          <w:rFonts w:ascii="Times New Roman" w:hAnsi="Times New Roman"/>
          <w:color w:val="auto"/>
          <w:sz w:val="24"/>
          <w:szCs w:val="24"/>
          <w:highlight w:val="none"/>
        </w:rPr>
        <w:t>2</w:t>
      </w:r>
      <w:r>
        <w:rPr>
          <w:rFonts w:hint="eastAsia" w:ascii="Times New Roman" w:hAnsi="Times New Roman"/>
          <w:color w:val="auto"/>
          <w:sz w:val="24"/>
          <w:szCs w:val="24"/>
          <w:highlight w:val="none"/>
        </w:rPr>
        <w:t>节能型轻质抹灰砂浆强度等级应不低于M</w:t>
      </w:r>
      <w:r>
        <w:rPr>
          <w:rFonts w:ascii="Times New Roman" w:hAnsi="Times New Roman"/>
          <w:color w:val="auto"/>
          <w:sz w:val="24"/>
          <w:szCs w:val="24"/>
          <w:highlight w:val="none"/>
        </w:rPr>
        <w:t>7.5</w:t>
      </w:r>
      <w:r>
        <w:rPr>
          <w:rFonts w:hint="eastAsia" w:ascii="Times New Roman" w:hAnsi="Times New Roman"/>
          <w:color w:val="auto"/>
          <w:sz w:val="24"/>
          <w:szCs w:val="24"/>
          <w:highlight w:val="none"/>
        </w:rPr>
        <w:t>，其抹面层复合单层耐碱玻纤网格布。</w:t>
      </w:r>
      <w:bookmarkStart w:id="213" w:name="_Toc13440"/>
    </w:p>
    <w:p>
      <w:pPr>
        <w:spacing w:line="360" w:lineRule="auto"/>
        <w:outlineLvl w:val="2"/>
        <w:rPr>
          <w:rFonts w:asciiTheme="majorEastAsia" w:hAnsiTheme="majorEastAsia" w:eastAsiaTheme="majorEastAsia"/>
          <w:color w:val="auto"/>
          <w:sz w:val="24"/>
          <w:szCs w:val="24"/>
          <w:highlight w:val="none"/>
        </w:rPr>
      </w:pPr>
      <w:r>
        <w:rPr>
          <w:rFonts w:hint="eastAsia" w:asciiTheme="majorEastAsia" w:hAnsiTheme="majorEastAsia" w:eastAsiaTheme="majorEastAsia"/>
          <w:color w:val="auto"/>
          <w:sz w:val="24"/>
          <w:szCs w:val="24"/>
          <w:highlight w:val="none"/>
        </w:rPr>
        <w:t>5.2.</w:t>
      </w:r>
      <w:r>
        <w:rPr>
          <w:rFonts w:asciiTheme="majorEastAsia" w:hAnsiTheme="majorEastAsia" w:eastAsiaTheme="majorEastAsia"/>
          <w:color w:val="auto"/>
          <w:sz w:val="24"/>
          <w:szCs w:val="24"/>
          <w:highlight w:val="none"/>
        </w:rPr>
        <w:t xml:space="preserve">8 </w:t>
      </w:r>
      <w:r>
        <w:rPr>
          <w:rFonts w:hint="eastAsia" w:asciiTheme="majorEastAsia" w:hAnsiTheme="majorEastAsia" w:eastAsiaTheme="majorEastAsia"/>
          <w:color w:val="auto"/>
          <w:sz w:val="24"/>
          <w:szCs w:val="24"/>
          <w:highlight w:val="none"/>
        </w:rPr>
        <w:t>热桥部位需要采取附加保温措施时，其附加保温层应符合下列规定：</w:t>
      </w:r>
      <w:bookmarkEnd w:id="213"/>
    </w:p>
    <w:p>
      <w:pPr>
        <w:tabs>
          <w:tab w:val="left" w:pos="426"/>
        </w:tabs>
        <w:spacing w:line="360" w:lineRule="auto"/>
        <w:ind w:firstLine="480" w:firstLineChars="200"/>
        <w:rPr>
          <w:rFonts w:hint="eastAsia" w:ascii="Times New Roman" w:hAnsi="Times New Roman"/>
          <w:color w:val="auto"/>
          <w:sz w:val="24"/>
          <w:szCs w:val="24"/>
          <w:highlight w:val="none"/>
        </w:rPr>
      </w:pPr>
      <w:r>
        <w:rPr>
          <w:rFonts w:hint="eastAsia" w:ascii="Times New Roman" w:hAnsi="Times New Roman"/>
          <w:color w:val="auto"/>
          <w:sz w:val="24"/>
          <w:szCs w:val="24"/>
          <w:highlight w:val="none"/>
          <w:lang w:val="en-US" w:eastAsia="zh-CN"/>
        </w:rPr>
        <w:t>1</w:t>
      </w:r>
      <w:r>
        <w:rPr>
          <w:rFonts w:hint="eastAsia" w:ascii="Times New Roman" w:hAnsi="Times New Roman"/>
          <w:color w:val="auto"/>
          <w:sz w:val="24"/>
          <w:szCs w:val="24"/>
          <w:highlight w:val="none"/>
        </w:rPr>
        <w:t>附加保温层材料可采用</w:t>
      </w:r>
      <w:r>
        <w:rPr>
          <w:rFonts w:ascii="Times New Roman" w:hAnsi="Times New Roman"/>
          <w:color w:val="auto"/>
          <w:sz w:val="24"/>
          <w:szCs w:val="24"/>
          <w:highlight w:val="none"/>
        </w:rPr>
        <w:t>20</w:t>
      </w:r>
      <w:r>
        <w:rPr>
          <w:rFonts w:hint="eastAsia" w:ascii="Times New Roman" w:hAnsi="Times New Roman"/>
          <w:color w:val="auto"/>
          <w:sz w:val="24"/>
          <w:szCs w:val="24"/>
          <w:highlight w:val="none"/>
        </w:rPr>
        <w:t xml:space="preserve">mm节能型轻质抹灰砂浆，也可采用聚苯板厚度不小于 </w:t>
      </w:r>
      <w:r>
        <w:rPr>
          <w:rFonts w:ascii="Times New Roman" w:hAnsi="Times New Roman"/>
          <w:color w:val="auto"/>
          <w:sz w:val="24"/>
          <w:szCs w:val="24"/>
          <w:highlight w:val="none"/>
        </w:rPr>
        <w:t>10</w:t>
      </w:r>
      <w:r>
        <w:rPr>
          <w:rFonts w:hint="eastAsia" w:ascii="Times New Roman" w:hAnsi="Times New Roman"/>
          <w:color w:val="auto"/>
          <w:sz w:val="24"/>
          <w:szCs w:val="24"/>
          <w:highlight w:val="none"/>
        </w:rPr>
        <w:t>~</w:t>
      </w:r>
      <w:r>
        <w:rPr>
          <w:rFonts w:ascii="Times New Roman" w:hAnsi="Times New Roman"/>
          <w:color w:val="auto"/>
          <w:sz w:val="24"/>
          <w:szCs w:val="24"/>
          <w:highlight w:val="none"/>
        </w:rPr>
        <w:t>30</w:t>
      </w:r>
      <w:r>
        <w:rPr>
          <w:rFonts w:hint="eastAsia" w:ascii="Times New Roman" w:hAnsi="Times New Roman"/>
          <w:color w:val="auto"/>
          <w:sz w:val="24"/>
          <w:szCs w:val="24"/>
          <w:highlight w:val="none"/>
        </w:rPr>
        <w:t>mm 厚的复合保温板。</w:t>
      </w:r>
    </w:p>
    <w:p>
      <w:pPr>
        <w:tabs>
          <w:tab w:val="left" w:pos="426"/>
        </w:tabs>
        <w:spacing w:line="360" w:lineRule="auto"/>
        <w:ind w:firstLine="480" w:firstLineChars="200"/>
        <w:rPr>
          <w:rFonts w:hint="eastAsia" w:ascii="Times New Roman" w:hAnsi="Times New Roman"/>
          <w:color w:val="auto"/>
          <w:sz w:val="24"/>
          <w:szCs w:val="24"/>
          <w:highlight w:val="none"/>
        </w:rPr>
      </w:pPr>
      <w:r>
        <w:rPr>
          <w:rFonts w:hint="eastAsia" w:ascii="Times New Roman" w:hAnsi="Times New Roman"/>
          <w:color w:val="auto"/>
          <w:sz w:val="24"/>
          <w:szCs w:val="24"/>
          <w:highlight w:val="none"/>
        </w:rPr>
        <w:t>2附加保温层应沿隔墙和楼板底面向室内延伸，延伸长度自外墙内保温系统完成面起不应小于300mm，各部位附加保温层构造节点见图5.</w:t>
      </w:r>
      <w:r>
        <w:rPr>
          <w:rFonts w:ascii="Times New Roman" w:hAnsi="Times New Roman"/>
          <w:color w:val="auto"/>
          <w:sz w:val="24"/>
          <w:szCs w:val="24"/>
          <w:highlight w:val="none"/>
        </w:rPr>
        <w:t>2</w:t>
      </w:r>
      <w:r>
        <w:rPr>
          <w:rFonts w:hint="eastAsia" w:ascii="Times New Roman" w:hAnsi="Times New Roman"/>
          <w:color w:val="auto"/>
          <w:sz w:val="24"/>
          <w:szCs w:val="24"/>
          <w:highlight w:val="none"/>
        </w:rPr>
        <w:t>.</w:t>
      </w:r>
      <w:r>
        <w:rPr>
          <w:rFonts w:ascii="Times New Roman" w:hAnsi="Times New Roman"/>
          <w:color w:val="auto"/>
          <w:sz w:val="24"/>
          <w:szCs w:val="24"/>
          <w:highlight w:val="none"/>
        </w:rPr>
        <w:t>8</w:t>
      </w:r>
      <w:r>
        <w:rPr>
          <w:rFonts w:hint="eastAsia" w:ascii="Times New Roman" w:hAnsi="Times New Roman"/>
          <w:color w:val="auto"/>
          <w:sz w:val="24"/>
          <w:szCs w:val="24"/>
          <w:highlight w:val="none"/>
        </w:rPr>
        <w:t>-1、5.</w:t>
      </w:r>
      <w:r>
        <w:rPr>
          <w:rFonts w:ascii="Times New Roman" w:hAnsi="Times New Roman"/>
          <w:color w:val="auto"/>
          <w:sz w:val="24"/>
          <w:szCs w:val="24"/>
          <w:highlight w:val="none"/>
        </w:rPr>
        <w:t>2</w:t>
      </w:r>
      <w:r>
        <w:rPr>
          <w:rFonts w:hint="eastAsia" w:ascii="Times New Roman" w:hAnsi="Times New Roman"/>
          <w:color w:val="auto"/>
          <w:sz w:val="24"/>
          <w:szCs w:val="24"/>
          <w:highlight w:val="none"/>
        </w:rPr>
        <w:t>.</w:t>
      </w:r>
      <w:r>
        <w:rPr>
          <w:rFonts w:ascii="Times New Roman" w:hAnsi="Times New Roman"/>
          <w:color w:val="auto"/>
          <w:sz w:val="24"/>
          <w:szCs w:val="24"/>
          <w:highlight w:val="none"/>
        </w:rPr>
        <w:t>8</w:t>
      </w:r>
      <w:r>
        <w:rPr>
          <w:rFonts w:hint="eastAsia" w:ascii="Times New Roman" w:hAnsi="Times New Roman"/>
          <w:color w:val="auto"/>
          <w:sz w:val="24"/>
          <w:szCs w:val="24"/>
          <w:highlight w:val="none"/>
        </w:rPr>
        <w:t>-2、5.</w:t>
      </w:r>
      <w:r>
        <w:rPr>
          <w:rFonts w:ascii="Times New Roman" w:hAnsi="Times New Roman"/>
          <w:color w:val="auto"/>
          <w:sz w:val="24"/>
          <w:szCs w:val="24"/>
          <w:highlight w:val="none"/>
        </w:rPr>
        <w:t>2</w:t>
      </w:r>
      <w:r>
        <w:rPr>
          <w:rFonts w:hint="eastAsia" w:ascii="Times New Roman" w:hAnsi="Times New Roman"/>
          <w:color w:val="auto"/>
          <w:sz w:val="24"/>
          <w:szCs w:val="24"/>
          <w:highlight w:val="none"/>
        </w:rPr>
        <w:t>.</w:t>
      </w:r>
      <w:r>
        <w:rPr>
          <w:rFonts w:ascii="Times New Roman" w:hAnsi="Times New Roman"/>
          <w:color w:val="auto"/>
          <w:sz w:val="24"/>
          <w:szCs w:val="24"/>
          <w:highlight w:val="none"/>
        </w:rPr>
        <w:t>8</w:t>
      </w:r>
      <w:r>
        <w:rPr>
          <w:rFonts w:hint="eastAsia" w:ascii="Times New Roman" w:hAnsi="Times New Roman"/>
          <w:color w:val="auto"/>
          <w:sz w:val="24"/>
          <w:szCs w:val="24"/>
          <w:highlight w:val="none"/>
        </w:rPr>
        <w:t>-3、5.</w:t>
      </w:r>
      <w:r>
        <w:rPr>
          <w:rFonts w:ascii="Times New Roman" w:hAnsi="Times New Roman"/>
          <w:color w:val="auto"/>
          <w:sz w:val="24"/>
          <w:szCs w:val="24"/>
          <w:highlight w:val="none"/>
        </w:rPr>
        <w:t>2</w:t>
      </w:r>
      <w:r>
        <w:rPr>
          <w:rFonts w:hint="eastAsia" w:ascii="Times New Roman" w:hAnsi="Times New Roman"/>
          <w:color w:val="auto"/>
          <w:sz w:val="24"/>
          <w:szCs w:val="24"/>
          <w:highlight w:val="none"/>
        </w:rPr>
        <w:t>.</w:t>
      </w:r>
      <w:r>
        <w:rPr>
          <w:rFonts w:ascii="Times New Roman" w:hAnsi="Times New Roman"/>
          <w:color w:val="auto"/>
          <w:sz w:val="24"/>
          <w:szCs w:val="24"/>
          <w:highlight w:val="none"/>
        </w:rPr>
        <w:t>8</w:t>
      </w:r>
      <w:r>
        <w:rPr>
          <w:rFonts w:hint="eastAsia" w:ascii="Times New Roman" w:hAnsi="Times New Roman"/>
          <w:color w:val="auto"/>
          <w:sz w:val="24"/>
          <w:szCs w:val="24"/>
          <w:highlight w:val="none"/>
        </w:rPr>
        <w:t>-4。</w:t>
      </w:r>
    </w:p>
    <w:p>
      <w:pPr>
        <w:pStyle w:val="2"/>
        <w:rPr>
          <w:rFonts w:hint="eastAsia" w:ascii="Times New Roman" w:hAnsi="Times New Roman"/>
          <w:color w:val="auto"/>
          <w:sz w:val="24"/>
          <w:szCs w:val="24"/>
          <w:highlight w:val="none"/>
        </w:rPr>
      </w:pPr>
    </w:p>
    <w:p>
      <w:pPr>
        <w:pStyle w:val="2"/>
        <w:rPr>
          <w:rFonts w:hint="eastAsia" w:ascii="Times New Roman" w:hAnsi="Times New Roman"/>
          <w:color w:val="auto"/>
          <w:sz w:val="24"/>
          <w:szCs w:val="24"/>
          <w:highlight w:val="none"/>
        </w:rPr>
      </w:pPr>
    </w:p>
    <w:p>
      <w:pPr>
        <w:pStyle w:val="2"/>
        <w:rPr>
          <w:rFonts w:hint="eastAsia" w:ascii="Times New Roman" w:hAnsi="Times New Roman"/>
          <w:color w:val="auto"/>
          <w:sz w:val="24"/>
          <w:szCs w:val="24"/>
          <w:highlight w:val="none"/>
        </w:rPr>
      </w:pPr>
    </w:p>
    <w:p>
      <w:pPr>
        <w:pStyle w:val="2"/>
        <w:rPr>
          <w:rFonts w:hint="eastAsia" w:ascii="Times New Roman" w:hAnsi="Times New Roman"/>
          <w:color w:val="auto"/>
          <w:sz w:val="24"/>
          <w:szCs w:val="24"/>
          <w:highlight w:val="none"/>
        </w:rPr>
      </w:pPr>
    </w:p>
    <w:p>
      <w:pPr>
        <w:pStyle w:val="2"/>
        <w:ind w:left="0" w:leftChars="0" w:firstLine="0" w:firstLineChars="0"/>
        <w:rPr>
          <w:rFonts w:hint="eastAsia" w:ascii="Times New Roman" w:hAnsi="Times New Roman"/>
          <w:color w:val="auto"/>
          <w:sz w:val="24"/>
          <w:szCs w:val="24"/>
          <w:highlight w:val="none"/>
        </w:rPr>
      </w:pPr>
    </w:p>
    <w:p>
      <w:pPr>
        <w:pStyle w:val="2"/>
        <w:rPr>
          <w:color w:val="auto"/>
          <w:highlight w:val="none"/>
        </w:rPr>
        <w:sectPr>
          <w:footerReference r:id="rId11" w:type="default"/>
          <w:pgSz w:w="11906" w:h="16838"/>
          <w:pgMar w:top="1440" w:right="1440" w:bottom="1440" w:left="144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tabs>
          <w:tab w:val="left" w:pos="426"/>
        </w:tabs>
        <w:spacing w:line="360" w:lineRule="auto"/>
        <w:jc w:val="center"/>
        <w:rPr>
          <w:rFonts w:ascii="Times New Roman" w:hAnsi="Times New Roman"/>
          <w:color w:val="auto"/>
          <w:sz w:val="24"/>
          <w:szCs w:val="24"/>
          <w:highlight w:val="none"/>
        </w:rPr>
      </w:pPr>
      <w:r>
        <w:rPr>
          <w:color w:val="auto"/>
          <w:highlight w:val="none"/>
        </w:rPr>
        <w:drawing>
          <wp:inline distT="0" distB="0" distL="0" distR="0">
            <wp:extent cx="3001010" cy="2503170"/>
            <wp:effectExtent l="0" t="0" r="889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3014533" cy="2514226"/>
                    </a:xfrm>
                    <a:prstGeom prst="rect">
                      <a:avLst/>
                    </a:prstGeom>
                  </pic:spPr>
                </pic:pic>
              </a:graphicData>
            </a:graphic>
          </wp:inline>
        </w:drawing>
      </w:r>
      <w:r>
        <w:rPr>
          <w:color w:val="auto"/>
          <w:highlight w:val="none"/>
        </w:rPr>
        <w:drawing>
          <wp:inline distT="0" distB="0" distL="0" distR="0">
            <wp:extent cx="2637155" cy="1981835"/>
            <wp:effectExtent l="0" t="0" r="10795" b="184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2"/>
                    <a:stretch>
                      <a:fillRect/>
                    </a:stretch>
                  </pic:blipFill>
                  <pic:spPr>
                    <a:xfrm>
                      <a:off x="0" y="0"/>
                      <a:ext cx="2637155" cy="1981835"/>
                    </a:xfrm>
                    <a:prstGeom prst="rect">
                      <a:avLst/>
                    </a:prstGeom>
                  </pic:spPr>
                </pic:pic>
              </a:graphicData>
            </a:graphic>
          </wp:inline>
        </w:drawing>
      </w:r>
    </w:p>
    <w:p>
      <w:pPr>
        <w:tabs>
          <w:tab w:val="left" w:pos="426"/>
        </w:tabs>
        <w:spacing w:line="360" w:lineRule="auto"/>
        <w:jc w:val="center"/>
        <w:rPr>
          <w:rFonts w:ascii="Times New Roman" w:hAnsi="Times New Roman"/>
          <w:color w:val="auto"/>
          <w:sz w:val="24"/>
          <w:szCs w:val="24"/>
          <w:highlight w:val="none"/>
        </w:rPr>
      </w:pPr>
    </w:p>
    <w:p>
      <w:pPr>
        <w:tabs>
          <w:tab w:val="left" w:pos="426"/>
        </w:tabs>
        <w:spacing w:line="360" w:lineRule="auto"/>
        <w:jc w:val="center"/>
        <w:rPr>
          <w:rFonts w:ascii="Times New Roman" w:hAnsi="Times New Roman"/>
          <w:color w:val="auto"/>
          <w:sz w:val="24"/>
          <w:szCs w:val="24"/>
          <w:highlight w:val="none"/>
        </w:rPr>
        <w:sectPr>
          <w:type w:val="continuous"/>
          <w:pgSz w:w="11906" w:h="16838"/>
          <w:pgMar w:top="1440" w:right="1440" w:bottom="1440" w:left="1440" w:header="851" w:footer="992" w:gutter="0"/>
          <w:pgBorders>
            <w:top w:val="none" w:sz="0" w:space="0"/>
            <w:left w:val="none" w:sz="0" w:space="0"/>
            <w:bottom w:val="none" w:sz="0" w:space="0"/>
            <w:right w:val="none" w:sz="0" w:space="0"/>
          </w:pgBorders>
          <w:pgNumType w:fmt="decimal"/>
          <w:cols w:space="720" w:num="2"/>
          <w:docGrid w:type="lines" w:linePitch="312" w:charSpace="0"/>
        </w:sectPr>
      </w:pPr>
    </w:p>
    <w:p>
      <w:pPr>
        <w:tabs>
          <w:tab w:val="left" w:pos="426"/>
        </w:tabs>
        <w:spacing w:line="360" w:lineRule="auto"/>
        <w:jc w:val="center"/>
        <w:rPr>
          <w:rFonts w:ascii="Times New Roman" w:hAnsi="Times New Roman"/>
          <w:color w:val="auto"/>
          <w:sz w:val="24"/>
          <w:szCs w:val="24"/>
          <w:highlight w:val="none"/>
        </w:rPr>
      </w:pPr>
      <w:r>
        <w:rPr>
          <w:rFonts w:hint="eastAsia" w:ascii="Times New Roman" w:hAnsi="Times New Roman"/>
          <w:color w:val="auto"/>
          <w:sz w:val="24"/>
          <w:szCs w:val="24"/>
          <w:highlight w:val="none"/>
        </w:rPr>
        <w:t>图5.</w:t>
      </w:r>
      <w:r>
        <w:rPr>
          <w:rFonts w:ascii="Times New Roman" w:hAnsi="Times New Roman"/>
          <w:color w:val="auto"/>
          <w:sz w:val="24"/>
          <w:szCs w:val="24"/>
          <w:highlight w:val="none"/>
        </w:rPr>
        <w:t>2</w:t>
      </w:r>
      <w:r>
        <w:rPr>
          <w:rFonts w:hint="eastAsia" w:ascii="Times New Roman" w:hAnsi="Times New Roman"/>
          <w:color w:val="auto"/>
          <w:sz w:val="24"/>
          <w:szCs w:val="24"/>
          <w:highlight w:val="none"/>
        </w:rPr>
        <w:t>.</w:t>
      </w:r>
      <w:r>
        <w:rPr>
          <w:rFonts w:ascii="Times New Roman" w:hAnsi="Times New Roman"/>
          <w:color w:val="auto"/>
          <w:sz w:val="24"/>
          <w:szCs w:val="24"/>
          <w:highlight w:val="none"/>
        </w:rPr>
        <w:t>8</w:t>
      </w:r>
      <w:r>
        <w:rPr>
          <w:rFonts w:hint="eastAsia" w:ascii="Times New Roman" w:hAnsi="Times New Roman"/>
          <w:color w:val="auto"/>
          <w:sz w:val="24"/>
          <w:szCs w:val="24"/>
          <w:highlight w:val="none"/>
        </w:rPr>
        <w:t>-1附加保温层为复合保温板的构造节点</w:t>
      </w:r>
    </w:p>
    <w:p>
      <w:pPr>
        <w:numPr>
          <w:ilvl w:val="0"/>
          <w:numId w:val="1"/>
        </w:numPr>
        <w:tabs>
          <w:tab w:val="left" w:pos="426"/>
        </w:tabs>
        <w:spacing w:line="360" w:lineRule="auto"/>
        <w:rPr>
          <w:rFonts w:ascii="Times New Roman" w:hAnsi="Times New Roman"/>
          <w:color w:val="auto"/>
          <w:sz w:val="24"/>
          <w:szCs w:val="24"/>
          <w:highlight w:val="none"/>
        </w:rPr>
      </w:pPr>
      <w:r>
        <w:rPr>
          <w:rFonts w:hint="eastAsia" w:ascii="Times New Roman" w:hAnsi="Times New Roman"/>
          <w:color w:val="auto"/>
          <w:sz w:val="24"/>
          <w:szCs w:val="24"/>
          <w:highlight w:val="none"/>
        </w:rPr>
        <w:t>外墙；2-内隔墙；3-复合保温板；4-复合保温板；5-接缝纸带；6-嵌缝石膏；7-网格布；8-墙面抹灰</w:t>
      </w:r>
    </w:p>
    <w:p>
      <w:pPr>
        <w:pStyle w:val="2"/>
        <w:rPr>
          <w:color w:val="auto"/>
          <w:highlight w:val="none"/>
        </w:rPr>
      </w:pPr>
    </w:p>
    <w:p>
      <w:pPr>
        <w:tabs>
          <w:tab w:val="left" w:pos="426"/>
        </w:tabs>
        <w:spacing w:line="360" w:lineRule="auto"/>
        <w:ind w:firstLine="420" w:firstLineChars="200"/>
        <w:rPr>
          <w:rFonts w:ascii="Times New Roman" w:hAnsi="Times New Roman"/>
          <w:color w:val="auto"/>
          <w:sz w:val="24"/>
          <w:szCs w:val="24"/>
          <w:highlight w:val="none"/>
        </w:rPr>
      </w:pPr>
      <w:r>
        <w:rPr>
          <w:color w:val="auto"/>
          <w:highlight w:val="none"/>
        </w:rPr>
        <w:drawing>
          <wp:inline distT="0" distB="0" distL="0" distR="0">
            <wp:extent cx="2637155" cy="206565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3"/>
                    <a:stretch>
                      <a:fillRect/>
                    </a:stretch>
                  </pic:blipFill>
                  <pic:spPr>
                    <a:xfrm>
                      <a:off x="0" y="0"/>
                      <a:ext cx="2637155" cy="2065655"/>
                    </a:xfrm>
                    <a:prstGeom prst="rect">
                      <a:avLst/>
                    </a:prstGeom>
                  </pic:spPr>
                </pic:pic>
              </a:graphicData>
            </a:graphic>
          </wp:inline>
        </w:drawing>
      </w:r>
    </w:p>
    <w:p>
      <w:pPr>
        <w:pStyle w:val="87"/>
        <w:tabs>
          <w:tab w:val="left" w:pos="426"/>
        </w:tabs>
        <w:spacing w:line="360" w:lineRule="auto"/>
        <w:ind w:left="360" w:firstLine="0" w:firstLineChars="0"/>
        <w:jc w:val="center"/>
        <w:rPr>
          <w:rFonts w:ascii="Times New Roman" w:hAnsi="Times New Roman"/>
          <w:color w:val="auto"/>
          <w:sz w:val="24"/>
          <w:szCs w:val="24"/>
          <w:highlight w:val="none"/>
        </w:rPr>
      </w:pPr>
      <w:r>
        <w:rPr>
          <w:rFonts w:hint="eastAsia" w:ascii="Times New Roman" w:hAnsi="Times New Roman"/>
          <w:color w:val="auto"/>
          <w:sz w:val="24"/>
          <w:szCs w:val="24"/>
          <w:highlight w:val="none"/>
        </w:rPr>
        <w:t>图5.</w:t>
      </w:r>
      <w:r>
        <w:rPr>
          <w:rFonts w:ascii="Times New Roman" w:hAnsi="Times New Roman"/>
          <w:color w:val="auto"/>
          <w:sz w:val="24"/>
          <w:szCs w:val="24"/>
          <w:highlight w:val="none"/>
        </w:rPr>
        <w:t>2</w:t>
      </w:r>
      <w:r>
        <w:rPr>
          <w:rFonts w:hint="eastAsia" w:ascii="Times New Roman" w:hAnsi="Times New Roman"/>
          <w:color w:val="auto"/>
          <w:sz w:val="24"/>
          <w:szCs w:val="24"/>
          <w:highlight w:val="none"/>
        </w:rPr>
        <w:t>.</w:t>
      </w:r>
      <w:r>
        <w:rPr>
          <w:rFonts w:ascii="Times New Roman" w:hAnsi="Times New Roman"/>
          <w:color w:val="auto"/>
          <w:sz w:val="24"/>
          <w:szCs w:val="24"/>
          <w:highlight w:val="none"/>
        </w:rPr>
        <w:t>8</w:t>
      </w:r>
      <w:r>
        <w:rPr>
          <w:rFonts w:hint="eastAsia" w:ascii="Times New Roman" w:hAnsi="Times New Roman"/>
          <w:color w:val="auto"/>
          <w:sz w:val="24"/>
          <w:szCs w:val="24"/>
          <w:highlight w:val="none"/>
        </w:rPr>
        <w:t>-2附加保温层为节能型轻质抹灰砂浆的构造节点</w:t>
      </w:r>
    </w:p>
    <w:p>
      <w:pPr>
        <w:tabs>
          <w:tab w:val="left" w:pos="426"/>
        </w:tabs>
        <w:spacing w:line="360" w:lineRule="auto"/>
        <w:rPr>
          <w:rFonts w:ascii="Times New Roman" w:hAnsi="Times New Roman"/>
          <w:color w:val="auto"/>
          <w:sz w:val="24"/>
          <w:szCs w:val="24"/>
          <w:highlight w:val="none"/>
        </w:rPr>
      </w:pPr>
      <w:r>
        <w:rPr>
          <w:rFonts w:hint="eastAsia" w:ascii="Times New Roman" w:hAnsi="Times New Roman"/>
          <w:color w:val="auto"/>
          <w:sz w:val="24"/>
          <w:szCs w:val="24"/>
          <w:highlight w:val="none"/>
        </w:rPr>
        <w:t xml:space="preserve">1-外墙 2-楼板 3-复合保温板 4-楼面层 </w:t>
      </w:r>
    </w:p>
    <w:p>
      <w:pPr>
        <w:tabs>
          <w:tab w:val="left" w:pos="426"/>
        </w:tabs>
        <w:spacing w:line="360" w:lineRule="auto"/>
        <w:jc w:val="center"/>
        <w:rPr>
          <w:rFonts w:ascii="Times New Roman" w:hAnsi="Times New Roman"/>
          <w:color w:val="auto"/>
          <w:sz w:val="24"/>
          <w:szCs w:val="24"/>
          <w:highlight w:val="none"/>
        </w:rPr>
      </w:pPr>
      <w:r>
        <w:rPr>
          <w:rFonts w:hint="eastAsia" w:ascii="Times New Roman" w:hAnsi="Times New Roman"/>
          <w:color w:val="auto"/>
          <w:sz w:val="24"/>
          <w:szCs w:val="24"/>
          <w:highlight w:val="none"/>
        </w:rPr>
        <w:t>5-楼面保温层 6-嵌缝石膏 7-接缝纸带</w:t>
      </w:r>
    </w:p>
    <w:p>
      <w:pPr>
        <w:tabs>
          <w:tab w:val="left" w:pos="426"/>
        </w:tabs>
        <w:spacing w:line="360" w:lineRule="auto"/>
        <w:jc w:val="center"/>
        <w:rPr>
          <w:rFonts w:hint="eastAsia" w:ascii="Times New Roman" w:hAnsi="Times New Roman"/>
          <w:color w:val="auto"/>
          <w:sz w:val="24"/>
          <w:szCs w:val="24"/>
          <w:highlight w:val="none"/>
        </w:rPr>
      </w:pPr>
    </w:p>
    <w:p>
      <w:pPr>
        <w:tabs>
          <w:tab w:val="left" w:pos="426"/>
        </w:tabs>
        <w:spacing w:line="360" w:lineRule="auto"/>
        <w:jc w:val="center"/>
        <w:rPr>
          <w:rFonts w:ascii="Times New Roman" w:hAnsi="Times New Roman"/>
          <w:color w:val="auto"/>
          <w:sz w:val="24"/>
          <w:szCs w:val="24"/>
          <w:highlight w:val="none"/>
        </w:rPr>
      </w:pPr>
      <w:r>
        <w:rPr>
          <w:rFonts w:hint="eastAsia" w:ascii="Times New Roman" w:hAnsi="Times New Roman"/>
          <w:color w:val="auto"/>
          <w:sz w:val="24"/>
          <w:szCs w:val="24"/>
          <w:highlight w:val="none"/>
        </w:rPr>
        <w:t>图5.</w:t>
      </w:r>
      <w:r>
        <w:rPr>
          <w:rFonts w:ascii="Times New Roman" w:hAnsi="Times New Roman"/>
          <w:color w:val="auto"/>
          <w:sz w:val="24"/>
          <w:szCs w:val="24"/>
          <w:highlight w:val="none"/>
        </w:rPr>
        <w:t>2</w:t>
      </w:r>
      <w:r>
        <w:rPr>
          <w:rFonts w:hint="eastAsia" w:ascii="Times New Roman" w:hAnsi="Times New Roman"/>
          <w:color w:val="auto"/>
          <w:sz w:val="24"/>
          <w:szCs w:val="24"/>
          <w:highlight w:val="none"/>
        </w:rPr>
        <w:t>.</w:t>
      </w:r>
      <w:r>
        <w:rPr>
          <w:rFonts w:ascii="Times New Roman" w:hAnsi="Times New Roman"/>
          <w:color w:val="auto"/>
          <w:sz w:val="24"/>
          <w:szCs w:val="24"/>
          <w:highlight w:val="none"/>
        </w:rPr>
        <w:t>8</w:t>
      </w:r>
      <w:r>
        <w:rPr>
          <w:rFonts w:hint="eastAsia" w:ascii="Times New Roman" w:hAnsi="Times New Roman"/>
          <w:color w:val="auto"/>
          <w:sz w:val="24"/>
          <w:szCs w:val="24"/>
          <w:highlight w:val="none"/>
        </w:rPr>
        <w:t>-3保温楼板部位，楼面保温层可视作附加保温层</w:t>
      </w:r>
    </w:p>
    <w:p>
      <w:pPr>
        <w:pStyle w:val="87"/>
        <w:tabs>
          <w:tab w:val="left" w:pos="426"/>
        </w:tabs>
        <w:spacing w:line="360" w:lineRule="auto"/>
        <w:ind w:left="360" w:firstLine="0" w:firstLineChars="0"/>
        <w:rPr>
          <w:rFonts w:ascii="Times New Roman" w:hAnsi="Times New Roman"/>
          <w:color w:val="auto"/>
          <w:sz w:val="24"/>
          <w:szCs w:val="24"/>
          <w:highlight w:val="none"/>
        </w:rPr>
      </w:pPr>
      <w:r>
        <w:rPr>
          <w:rFonts w:hint="eastAsia" w:ascii="Times New Roman" w:hAnsi="Times New Roman"/>
          <w:color w:val="auto"/>
          <w:sz w:val="24"/>
          <w:szCs w:val="24"/>
          <w:highlight w:val="none"/>
        </w:rPr>
        <w:t>1-外墙 2-隔墙 3-复合保温板 4-水泥基无机保温砂浆 5-网格布 6-嵌缝石膏 7-接缝纸带</w:t>
      </w:r>
    </w:p>
    <w:p>
      <w:pPr>
        <w:tabs>
          <w:tab w:val="left" w:pos="426"/>
        </w:tabs>
        <w:spacing w:line="360" w:lineRule="auto"/>
        <w:jc w:val="center"/>
        <w:rPr>
          <w:rFonts w:ascii="Times New Roman" w:hAnsi="Times New Roman"/>
          <w:color w:val="auto"/>
          <w:sz w:val="24"/>
          <w:szCs w:val="24"/>
          <w:highlight w:val="none"/>
        </w:rPr>
      </w:pPr>
      <w:r>
        <w:rPr>
          <w:color w:val="auto"/>
          <w:highlight w:val="none"/>
        </w:rPr>
        <w:drawing>
          <wp:inline distT="0" distB="0" distL="0" distR="0">
            <wp:extent cx="2737485" cy="2212975"/>
            <wp:effectExtent l="0" t="0" r="5715"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4"/>
                    <a:stretch>
                      <a:fillRect/>
                    </a:stretch>
                  </pic:blipFill>
                  <pic:spPr>
                    <a:xfrm>
                      <a:off x="0" y="0"/>
                      <a:ext cx="2754097" cy="2226723"/>
                    </a:xfrm>
                    <a:prstGeom prst="rect">
                      <a:avLst/>
                    </a:prstGeom>
                  </pic:spPr>
                </pic:pic>
              </a:graphicData>
            </a:graphic>
          </wp:inline>
        </w:drawing>
      </w:r>
    </w:p>
    <w:p>
      <w:pPr>
        <w:tabs>
          <w:tab w:val="left" w:pos="426"/>
        </w:tabs>
        <w:spacing w:line="360" w:lineRule="auto"/>
        <w:jc w:val="center"/>
        <w:rPr>
          <w:rFonts w:ascii="Times New Roman" w:hAnsi="Times New Roman"/>
          <w:color w:val="auto"/>
          <w:sz w:val="24"/>
          <w:szCs w:val="24"/>
          <w:highlight w:val="none"/>
        </w:rPr>
      </w:pPr>
      <w:r>
        <w:rPr>
          <w:rFonts w:hint="eastAsia" w:ascii="Times New Roman" w:hAnsi="Times New Roman"/>
          <w:color w:val="auto"/>
          <w:sz w:val="24"/>
          <w:szCs w:val="24"/>
          <w:highlight w:val="none"/>
        </w:rPr>
        <w:t>图5.</w:t>
      </w:r>
      <w:r>
        <w:rPr>
          <w:rFonts w:ascii="Times New Roman" w:hAnsi="Times New Roman"/>
          <w:color w:val="auto"/>
          <w:sz w:val="24"/>
          <w:szCs w:val="24"/>
          <w:highlight w:val="none"/>
        </w:rPr>
        <w:t>2</w:t>
      </w:r>
      <w:r>
        <w:rPr>
          <w:rFonts w:hint="eastAsia" w:ascii="Times New Roman" w:hAnsi="Times New Roman"/>
          <w:color w:val="auto"/>
          <w:sz w:val="24"/>
          <w:szCs w:val="24"/>
          <w:highlight w:val="none"/>
        </w:rPr>
        <w:t>.</w:t>
      </w:r>
      <w:r>
        <w:rPr>
          <w:rFonts w:ascii="Times New Roman" w:hAnsi="Times New Roman"/>
          <w:color w:val="auto"/>
          <w:sz w:val="24"/>
          <w:szCs w:val="24"/>
          <w:highlight w:val="none"/>
        </w:rPr>
        <w:t>8</w:t>
      </w:r>
      <w:r>
        <w:rPr>
          <w:rFonts w:hint="eastAsia" w:ascii="Times New Roman" w:hAnsi="Times New Roman"/>
          <w:color w:val="auto"/>
          <w:sz w:val="24"/>
          <w:szCs w:val="24"/>
          <w:highlight w:val="none"/>
        </w:rPr>
        <w:t>-4非保温楼面的附加保温层构造节点</w:t>
      </w:r>
    </w:p>
    <w:p>
      <w:pPr>
        <w:tabs>
          <w:tab w:val="left" w:pos="426"/>
        </w:tabs>
        <w:spacing w:line="360" w:lineRule="auto"/>
        <w:jc w:val="center"/>
        <w:rPr>
          <w:rFonts w:ascii="Times New Roman" w:hAnsi="Times New Roman"/>
          <w:color w:val="auto"/>
          <w:sz w:val="24"/>
          <w:szCs w:val="24"/>
          <w:highlight w:val="none"/>
        </w:rPr>
      </w:pPr>
      <w:r>
        <w:rPr>
          <w:rFonts w:hint="eastAsia" w:ascii="Times New Roman" w:hAnsi="Times New Roman"/>
          <w:color w:val="auto"/>
          <w:sz w:val="24"/>
          <w:szCs w:val="24"/>
          <w:highlight w:val="none"/>
        </w:rPr>
        <w:t>1-外墙基层墙体 2-结构楼板 3-复合保温板 4-楼面 5-复合保温板 6-嵌缝石膏；7-接缝纸带</w:t>
      </w:r>
    </w:p>
    <w:p>
      <w:pPr>
        <w:tabs>
          <w:tab w:val="left" w:pos="426"/>
        </w:tabs>
        <w:spacing w:line="360" w:lineRule="auto"/>
        <w:rPr>
          <w:rFonts w:ascii="Times New Roman" w:hAnsi="Times New Roman"/>
          <w:color w:val="auto"/>
          <w:sz w:val="24"/>
          <w:szCs w:val="24"/>
          <w:highlight w:val="none"/>
        </w:rPr>
        <w:sectPr>
          <w:type w:val="continuous"/>
          <w:pgSz w:w="11906" w:h="16838"/>
          <w:pgMar w:top="1440" w:right="1440" w:bottom="1440" w:left="1440" w:header="851" w:footer="992" w:gutter="0"/>
          <w:pgBorders>
            <w:top w:val="none" w:sz="0" w:space="0"/>
            <w:left w:val="none" w:sz="0" w:space="0"/>
            <w:bottom w:val="none" w:sz="0" w:space="0"/>
            <w:right w:val="none" w:sz="0" w:space="0"/>
          </w:pgBorders>
          <w:pgNumType w:fmt="decimal"/>
          <w:cols w:space="720" w:num="2"/>
          <w:docGrid w:type="lines" w:linePitch="312" w:charSpace="0"/>
        </w:sectPr>
      </w:pPr>
    </w:p>
    <w:p>
      <w:pPr>
        <w:tabs>
          <w:tab w:val="left" w:pos="426"/>
        </w:tabs>
        <w:spacing w:line="360" w:lineRule="auto"/>
        <w:rPr>
          <w:rFonts w:ascii="楷体" w:hAnsi="楷体" w:eastAsia="楷体"/>
          <w:color w:val="auto"/>
          <w:sz w:val="24"/>
          <w:szCs w:val="24"/>
          <w:highlight w:val="none"/>
        </w:rPr>
      </w:pPr>
      <w:r>
        <w:rPr>
          <w:rFonts w:hint="eastAsia" w:ascii="楷体" w:hAnsi="楷体" w:eastAsia="楷体"/>
          <w:color w:val="auto"/>
          <w:sz w:val="24"/>
          <w:szCs w:val="24"/>
          <w:highlight w:val="none"/>
        </w:rPr>
        <w:t>【条文说明】</w:t>
      </w:r>
      <w:r>
        <w:rPr>
          <w:rFonts w:hint="eastAsia" w:ascii="楷体" w:hAnsi="楷体" w:eastAsia="楷体"/>
          <w:color w:val="auto"/>
          <w:sz w:val="24"/>
          <w:szCs w:val="24"/>
          <w:highlight w:val="none"/>
          <w:lang w:val="en-US" w:eastAsia="zh-CN"/>
        </w:rPr>
        <w:t>5.2.8</w:t>
      </w:r>
      <w:r>
        <w:rPr>
          <w:rFonts w:hint="eastAsia" w:ascii="楷体" w:hAnsi="楷体" w:eastAsia="楷体"/>
          <w:color w:val="auto"/>
          <w:sz w:val="24"/>
          <w:szCs w:val="24"/>
          <w:highlight w:val="none"/>
        </w:rPr>
        <w:t>附加保温层的设计应进行复核验算，确保采取的保温措施可以避免室内墙体表面不会结露，采取附加保温措施时，需绘制节点详图，隔墙两侧均需设置附加保温层的延伸段，宜与隔墙内表面的抹灰层接平以满足室内美观的要求，不同材料接缝之处，应贴覆接缝纸带，接缝纸带每侧宽度不小于50mm；楼板下部不强求设置延伸段，设有保温层的楼板，其保温层可以作为附加保温措施，不需要重复设置，未设保温层的楼板，应在楼板面设置不小于300mm延伸长度的附加保温层。</w:t>
      </w:r>
    </w:p>
    <w:p>
      <w:pPr>
        <w:pStyle w:val="5"/>
        <w:bidi w:val="0"/>
        <w:rPr>
          <w:color w:val="auto"/>
          <w:highlight w:val="none"/>
        </w:rPr>
      </w:pPr>
      <w:bookmarkStart w:id="214" w:name="_Toc16563"/>
      <w:bookmarkStart w:id="215" w:name="_Toc524349284"/>
      <w:bookmarkStart w:id="216" w:name="_Toc31369"/>
      <w:bookmarkStart w:id="217" w:name="_Toc6395479"/>
      <w:bookmarkStart w:id="218" w:name="_Toc30823"/>
      <w:bookmarkStart w:id="219" w:name="_Toc6324"/>
      <w:bookmarkStart w:id="220" w:name="_Toc427234984"/>
      <w:bookmarkStart w:id="221" w:name="_Toc27094"/>
      <w:bookmarkStart w:id="222" w:name="_Toc314828591"/>
      <w:bookmarkStart w:id="223" w:name="_Toc315775030"/>
      <w:r>
        <w:rPr>
          <w:color w:val="auto"/>
          <w:highlight w:val="none"/>
        </w:rPr>
        <w:t xml:space="preserve">5.3  </w:t>
      </w:r>
      <w:r>
        <w:rPr>
          <w:rFonts w:hint="eastAsia"/>
          <w:color w:val="auto"/>
          <w:highlight w:val="none"/>
        </w:rPr>
        <w:t>系统热工设计</w:t>
      </w:r>
      <w:bookmarkEnd w:id="214"/>
      <w:bookmarkEnd w:id="215"/>
      <w:bookmarkEnd w:id="216"/>
      <w:bookmarkEnd w:id="217"/>
      <w:bookmarkEnd w:id="218"/>
      <w:bookmarkEnd w:id="219"/>
      <w:bookmarkEnd w:id="220"/>
      <w:bookmarkEnd w:id="221"/>
    </w:p>
    <w:p>
      <w:pPr>
        <w:spacing w:line="360" w:lineRule="auto"/>
        <w:outlineLvl w:val="2"/>
        <w:rPr>
          <w:rFonts w:asciiTheme="majorEastAsia" w:hAnsiTheme="majorEastAsia" w:eastAsiaTheme="majorEastAsia"/>
          <w:color w:val="auto"/>
          <w:sz w:val="24"/>
          <w:szCs w:val="24"/>
          <w:highlight w:val="none"/>
        </w:rPr>
      </w:pPr>
      <w:bookmarkStart w:id="224" w:name="_Toc4352"/>
      <w:r>
        <w:rPr>
          <w:rFonts w:asciiTheme="majorEastAsia" w:hAnsiTheme="majorEastAsia" w:eastAsiaTheme="majorEastAsia"/>
          <w:color w:val="auto"/>
          <w:sz w:val="24"/>
          <w:szCs w:val="24"/>
          <w:highlight w:val="none"/>
        </w:rPr>
        <w:t xml:space="preserve">5.3.1 </w:t>
      </w:r>
      <w:r>
        <w:rPr>
          <w:rFonts w:hint="eastAsia" w:asciiTheme="majorEastAsia" w:hAnsiTheme="majorEastAsia" w:eastAsiaTheme="majorEastAsia"/>
          <w:color w:val="auto"/>
          <w:sz w:val="24"/>
          <w:szCs w:val="24"/>
          <w:highlight w:val="none"/>
        </w:rPr>
        <w:t>建筑</w:t>
      </w:r>
      <w:r>
        <w:rPr>
          <w:rFonts w:asciiTheme="majorEastAsia" w:hAnsiTheme="majorEastAsia" w:eastAsiaTheme="majorEastAsia"/>
          <w:color w:val="auto"/>
          <w:sz w:val="24"/>
          <w:szCs w:val="24"/>
          <w:highlight w:val="none"/>
        </w:rPr>
        <w:t>外墙内保温</w:t>
      </w:r>
      <w:r>
        <w:rPr>
          <w:rFonts w:hint="eastAsia" w:asciiTheme="majorEastAsia" w:hAnsiTheme="majorEastAsia" w:eastAsiaTheme="majorEastAsia"/>
          <w:color w:val="auto"/>
          <w:sz w:val="24"/>
          <w:szCs w:val="24"/>
          <w:highlight w:val="none"/>
        </w:rPr>
        <w:t>复合板系统保温工程建筑热工设计应符合国家及重庆市现行相关</w:t>
      </w:r>
      <w:r>
        <w:rPr>
          <w:rFonts w:asciiTheme="majorEastAsia" w:hAnsiTheme="majorEastAsia" w:eastAsiaTheme="majorEastAsia"/>
          <w:color w:val="auto"/>
          <w:sz w:val="24"/>
          <w:szCs w:val="24"/>
          <w:highlight w:val="none"/>
        </w:rPr>
        <w:t>标准的规定。</w:t>
      </w:r>
      <w:bookmarkEnd w:id="224"/>
      <w:bookmarkStart w:id="225" w:name="_Toc4347"/>
    </w:p>
    <w:p>
      <w:pPr>
        <w:spacing w:line="360" w:lineRule="auto"/>
        <w:outlineLvl w:val="2"/>
        <w:rPr>
          <w:rFonts w:asciiTheme="majorEastAsia" w:hAnsiTheme="majorEastAsia" w:eastAsiaTheme="majorEastAsia"/>
          <w:color w:val="auto"/>
          <w:sz w:val="24"/>
          <w:szCs w:val="24"/>
          <w:highlight w:val="none"/>
        </w:rPr>
      </w:pPr>
      <w:r>
        <w:rPr>
          <w:rFonts w:asciiTheme="majorEastAsia" w:hAnsiTheme="majorEastAsia" w:eastAsiaTheme="majorEastAsia"/>
          <w:color w:val="auto"/>
          <w:sz w:val="24"/>
          <w:szCs w:val="24"/>
          <w:highlight w:val="none"/>
        </w:rPr>
        <w:t xml:space="preserve">5.3.2 </w:t>
      </w:r>
      <w:r>
        <w:rPr>
          <w:rFonts w:hint="eastAsia" w:asciiTheme="majorEastAsia" w:hAnsiTheme="majorEastAsia" w:eastAsiaTheme="majorEastAsia"/>
          <w:color w:val="auto"/>
          <w:sz w:val="24"/>
          <w:szCs w:val="24"/>
          <w:highlight w:val="none"/>
        </w:rPr>
        <w:t>内保温复合板的热工性能应按保温材料的热工性能确定。</w:t>
      </w:r>
      <w:bookmarkEnd w:id="225"/>
    </w:p>
    <w:bookmarkEnd w:id="222"/>
    <w:bookmarkEnd w:id="223"/>
    <w:p>
      <w:pPr>
        <w:spacing w:line="360" w:lineRule="auto"/>
        <w:outlineLvl w:val="2"/>
        <w:rPr>
          <w:rFonts w:asciiTheme="majorEastAsia" w:hAnsiTheme="majorEastAsia" w:eastAsiaTheme="majorEastAsia"/>
          <w:color w:val="auto"/>
          <w:sz w:val="24"/>
          <w:szCs w:val="24"/>
          <w:highlight w:val="none"/>
        </w:rPr>
      </w:pPr>
      <w:bookmarkStart w:id="226" w:name="_Toc4006"/>
      <w:bookmarkStart w:id="227" w:name="_Toc427234985"/>
      <w:bookmarkStart w:id="228" w:name="_Toc329789378"/>
      <w:bookmarkStart w:id="229" w:name="_Toc524349285"/>
      <w:bookmarkStart w:id="230" w:name="_Toc525650624"/>
      <w:r>
        <w:rPr>
          <w:rFonts w:hint="eastAsia" w:asciiTheme="majorEastAsia" w:hAnsiTheme="majorEastAsia" w:eastAsiaTheme="majorEastAsia"/>
          <w:color w:val="auto"/>
          <w:sz w:val="24"/>
          <w:szCs w:val="24"/>
          <w:highlight w:val="none"/>
        </w:rPr>
        <w:t>5.3.3</w:t>
      </w:r>
      <w:r>
        <w:rPr>
          <w:rFonts w:hint="eastAsia" w:asciiTheme="majorEastAsia" w:hAnsiTheme="majorEastAsia" w:eastAsiaTheme="majorEastAsia"/>
          <w:color w:val="auto"/>
          <w:sz w:val="24"/>
          <w:szCs w:val="24"/>
          <w:highlight w:val="none"/>
          <w:lang w:val="en-US" w:eastAsia="zh-CN"/>
        </w:rPr>
        <w:t xml:space="preserve"> </w:t>
      </w:r>
      <w:r>
        <w:rPr>
          <w:rFonts w:hint="eastAsia" w:asciiTheme="majorEastAsia" w:hAnsiTheme="majorEastAsia" w:eastAsiaTheme="majorEastAsia"/>
          <w:color w:val="auto"/>
          <w:sz w:val="24"/>
          <w:szCs w:val="24"/>
          <w:highlight w:val="none"/>
        </w:rPr>
        <w:t>复合板外墙内保温系统的热工计算可包括下列构造层：</w:t>
      </w:r>
      <w:bookmarkEnd w:id="226"/>
    </w:p>
    <w:p>
      <w:pPr>
        <w:spacing w:line="360" w:lineRule="auto"/>
        <w:ind w:firstLine="420"/>
        <w:rPr>
          <w:rFonts w:ascii="Times New Roman" w:hAnsi="Times New Roman"/>
          <w:color w:val="auto"/>
          <w:sz w:val="24"/>
          <w:szCs w:val="24"/>
          <w:highlight w:val="none"/>
        </w:rPr>
      </w:pPr>
      <w:r>
        <w:rPr>
          <w:rFonts w:hint="eastAsia" w:ascii="Times New Roman" w:hAnsi="Times New Roman"/>
          <w:color w:val="auto"/>
          <w:sz w:val="24"/>
          <w:szCs w:val="24"/>
          <w:highlight w:val="none"/>
        </w:rPr>
        <w:t>1外墙面抹灰</w:t>
      </w:r>
    </w:p>
    <w:p>
      <w:pPr>
        <w:spacing w:line="360" w:lineRule="auto"/>
        <w:ind w:firstLine="420"/>
        <w:rPr>
          <w:rFonts w:ascii="Times New Roman" w:hAnsi="Times New Roman"/>
          <w:color w:val="auto"/>
          <w:sz w:val="24"/>
          <w:szCs w:val="24"/>
          <w:highlight w:val="none"/>
        </w:rPr>
      </w:pPr>
      <w:r>
        <w:rPr>
          <w:rFonts w:hint="eastAsia" w:ascii="Times New Roman" w:hAnsi="Times New Roman"/>
          <w:color w:val="auto"/>
          <w:sz w:val="24"/>
          <w:szCs w:val="24"/>
          <w:highlight w:val="none"/>
        </w:rPr>
        <w:t>2基层墙体</w:t>
      </w:r>
    </w:p>
    <w:p>
      <w:pPr>
        <w:spacing w:line="360" w:lineRule="auto"/>
        <w:ind w:firstLine="420"/>
        <w:rPr>
          <w:rFonts w:ascii="Times New Roman" w:hAnsi="Times New Roman"/>
          <w:color w:val="auto"/>
          <w:sz w:val="24"/>
          <w:szCs w:val="24"/>
          <w:highlight w:val="none"/>
        </w:rPr>
      </w:pPr>
      <w:r>
        <w:rPr>
          <w:rFonts w:hint="eastAsia" w:ascii="Times New Roman" w:hAnsi="Times New Roman"/>
          <w:color w:val="auto"/>
          <w:sz w:val="24"/>
          <w:szCs w:val="24"/>
          <w:highlight w:val="none"/>
        </w:rPr>
        <w:t>3找平层（有找平层时可计入）</w:t>
      </w:r>
    </w:p>
    <w:p>
      <w:pPr>
        <w:spacing w:line="360" w:lineRule="auto"/>
        <w:ind w:firstLine="420"/>
        <w:rPr>
          <w:rFonts w:ascii="Times New Roman" w:hAnsi="Times New Roman"/>
          <w:color w:val="auto"/>
          <w:sz w:val="24"/>
          <w:szCs w:val="24"/>
          <w:highlight w:val="none"/>
        </w:rPr>
      </w:pPr>
      <w:r>
        <w:rPr>
          <w:rFonts w:hint="eastAsia" w:ascii="Times New Roman" w:hAnsi="Times New Roman"/>
          <w:color w:val="auto"/>
          <w:sz w:val="24"/>
          <w:szCs w:val="24"/>
          <w:highlight w:val="none"/>
        </w:rPr>
        <w:t>4保温层</w:t>
      </w:r>
    </w:p>
    <w:p>
      <w:pPr>
        <w:spacing w:line="360" w:lineRule="auto"/>
        <w:ind w:firstLine="420"/>
        <w:rPr>
          <w:rFonts w:ascii="Times New Roman" w:hAnsi="Times New Roman"/>
          <w:color w:val="auto"/>
          <w:sz w:val="24"/>
          <w:szCs w:val="24"/>
          <w:highlight w:val="none"/>
        </w:rPr>
      </w:pPr>
      <w:r>
        <w:rPr>
          <w:rFonts w:hint="eastAsia" w:ascii="Times New Roman" w:hAnsi="Times New Roman"/>
          <w:color w:val="auto"/>
          <w:sz w:val="24"/>
          <w:szCs w:val="24"/>
          <w:highlight w:val="none"/>
        </w:rPr>
        <w:t>5面层</w:t>
      </w:r>
    </w:p>
    <w:p>
      <w:pPr>
        <w:spacing w:line="360" w:lineRule="auto"/>
        <w:rPr>
          <w:rFonts w:asciiTheme="majorEastAsia" w:hAnsiTheme="majorEastAsia" w:eastAsiaTheme="majorEastAsia"/>
          <w:color w:val="auto"/>
          <w:sz w:val="24"/>
          <w:szCs w:val="24"/>
          <w:highlight w:val="none"/>
        </w:rPr>
      </w:pPr>
      <w:r>
        <w:rPr>
          <w:rFonts w:hint="eastAsia" w:ascii="楷体" w:hAnsi="楷体" w:eastAsia="楷体"/>
          <w:color w:val="auto"/>
          <w:sz w:val="24"/>
          <w:szCs w:val="24"/>
          <w:highlight w:val="none"/>
        </w:rPr>
        <w:t>【条文说明】</w:t>
      </w:r>
      <w:r>
        <w:rPr>
          <w:rFonts w:hint="eastAsia" w:ascii="楷体" w:hAnsi="楷体" w:eastAsia="楷体"/>
          <w:color w:val="auto"/>
          <w:sz w:val="24"/>
          <w:szCs w:val="24"/>
          <w:highlight w:val="none"/>
          <w:lang w:val="en-US" w:eastAsia="zh-CN"/>
        </w:rPr>
        <w:t>5.3.3</w:t>
      </w:r>
      <w:r>
        <w:rPr>
          <w:rFonts w:hint="eastAsia" w:ascii="楷体" w:hAnsi="楷体" w:eastAsia="楷体"/>
          <w:color w:val="auto"/>
          <w:sz w:val="24"/>
          <w:szCs w:val="24"/>
          <w:highlight w:val="none"/>
        </w:rPr>
        <w:t>基层找平层按设计厚度计入热工计算，当基层不需要找平时，热工计算时不计入找平层，找平层的材料及厚度按本标准第 5.2.</w:t>
      </w:r>
      <w:r>
        <w:rPr>
          <w:rFonts w:ascii="楷体" w:hAnsi="楷体" w:eastAsia="楷体"/>
          <w:color w:val="auto"/>
          <w:sz w:val="24"/>
          <w:szCs w:val="24"/>
          <w:highlight w:val="none"/>
        </w:rPr>
        <w:t>2</w:t>
      </w:r>
      <w:r>
        <w:rPr>
          <w:rFonts w:hint="eastAsia" w:ascii="楷体" w:hAnsi="楷体" w:eastAsia="楷体"/>
          <w:color w:val="auto"/>
          <w:sz w:val="24"/>
          <w:szCs w:val="24"/>
          <w:highlight w:val="none"/>
        </w:rPr>
        <w:t>条执行。采用复合板内保温系统时，按实际面板材料及厚度计入热工计算；采用节能型轻质抹灰砂浆时，面层为保温抹面层构造，厚度按5mm计入热工计算。</w:t>
      </w:r>
      <w:bookmarkStart w:id="231" w:name="_Toc17406"/>
    </w:p>
    <w:p>
      <w:pPr>
        <w:spacing w:line="360" w:lineRule="auto"/>
        <w:outlineLvl w:val="2"/>
        <w:rPr>
          <w:rFonts w:hint="eastAsia" w:asciiTheme="majorEastAsia" w:hAnsiTheme="majorEastAsia" w:eastAsiaTheme="majorEastAsia"/>
          <w:color w:val="auto"/>
          <w:sz w:val="24"/>
          <w:szCs w:val="24"/>
          <w:highlight w:val="none"/>
          <w:lang w:eastAsia="zh-CN"/>
        </w:rPr>
      </w:pPr>
      <w:r>
        <w:rPr>
          <w:rFonts w:hint="eastAsia" w:asciiTheme="majorEastAsia" w:hAnsiTheme="majorEastAsia" w:eastAsiaTheme="majorEastAsia"/>
          <w:color w:val="auto"/>
          <w:sz w:val="24"/>
          <w:szCs w:val="24"/>
          <w:highlight w:val="none"/>
        </w:rPr>
        <w:t>5.3.4</w:t>
      </w:r>
      <w:r>
        <w:rPr>
          <w:rFonts w:hint="eastAsia" w:asciiTheme="majorEastAsia" w:hAnsiTheme="majorEastAsia" w:eastAsiaTheme="majorEastAsia"/>
          <w:color w:val="auto"/>
          <w:sz w:val="24"/>
          <w:szCs w:val="24"/>
          <w:highlight w:val="none"/>
          <w:lang w:val="en-US" w:eastAsia="zh-CN"/>
        </w:rPr>
        <w:t xml:space="preserve"> </w:t>
      </w:r>
      <w:r>
        <w:rPr>
          <w:rFonts w:hint="eastAsia" w:asciiTheme="majorEastAsia" w:hAnsiTheme="majorEastAsia" w:eastAsiaTheme="majorEastAsia"/>
          <w:color w:val="auto"/>
          <w:sz w:val="24"/>
          <w:szCs w:val="24"/>
          <w:highlight w:val="none"/>
        </w:rPr>
        <w:t>复合板的保温层选用厚度应符合</w:t>
      </w:r>
      <w:r>
        <w:rPr>
          <w:rFonts w:hint="eastAsia" w:asciiTheme="majorEastAsia" w:hAnsiTheme="majorEastAsia" w:eastAsiaTheme="majorEastAsia"/>
          <w:color w:val="auto"/>
          <w:sz w:val="24"/>
          <w:szCs w:val="24"/>
          <w:highlight w:val="none"/>
          <w:lang w:val="en-US" w:eastAsia="zh-CN"/>
        </w:rPr>
        <w:t>国际及地方</w:t>
      </w:r>
      <w:r>
        <w:rPr>
          <w:rFonts w:hint="eastAsia" w:asciiTheme="majorEastAsia" w:hAnsiTheme="majorEastAsia" w:eastAsiaTheme="majorEastAsia"/>
          <w:color w:val="auto"/>
          <w:sz w:val="24"/>
          <w:szCs w:val="24"/>
          <w:highlight w:val="none"/>
        </w:rPr>
        <w:t>现行节能设计标准中外墙热工性能规定限值要求，不同复合板的保温层厚度可根据外墙、隔墙、凸窗挑板等热工性能限值</w:t>
      </w:r>
      <w:bookmarkEnd w:id="227"/>
      <w:bookmarkEnd w:id="228"/>
      <w:bookmarkEnd w:id="229"/>
      <w:bookmarkEnd w:id="230"/>
      <w:bookmarkEnd w:id="231"/>
      <w:r>
        <w:rPr>
          <w:rFonts w:hint="eastAsia" w:asciiTheme="majorEastAsia" w:hAnsiTheme="majorEastAsia" w:eastAsiaTheme="majorEastAsia"/>
          <w:color w:val="auto"/>
          <w:sz w:val="24"/>
          <w:szCs w:val="24"/>
          <w:highlight w:val="none"/>
          <w:lang w:val="en-US" w:eastAsia="zh-CN"/>
        </w:rPr>
        <w:t>计算。</w:t>
      </w:r>
    </w:p>
    <w:p>
      <w:pPr>
        <w:spacing w:line="360" w:lineRule="auto"/>
        <w:rPr>
          <w:rFonts w:asciiTheme="majorEastAsia" w:hAnsiTheme="majorEastAsia" w:eastAsiaTheme="majorEastAsia"/>
          <w:color w:val="auto"/>
          <w:sz w:val="24"/>
          <w:szCs w:val="24"/>
          <w:highlight w:val="none"/>
        </w:rPr>
      </w:pPr>
    </w:p>
    <w:p>
      <w:pPr>
        <w:jc w:val="center"/>
        <w:rPr>
          <w:rFonts w:ascii="Times New Roman" w:hAnsi="Times New Roman"/>
          <w:color w:val="auto"/>
          <w:sz w:val="28"/>
          <w:szCs w:val="28"/>
          <w:highlight w:val="none"/>
        </w:rPr>
      </w:pPr>
      <w:bookmarkStart w:id="232" w:name="OLE_LINK3"/>
      <w:bookmarkStart w:id="233" w:name="OLE_LINK4"/>
    </w:p>
    <w:p>
      <w:pPr>
        <w:jc w:val="center"/>
        <w:rPr>
          <w:rFonts w:ascii="Times New Roman" w:hAnsi="Times New Roman"/>
          <w:color w:val="auto"/>
          <w:sz w:val="28"/>
          <w:szCs w:val="28"/>
          <w:highlight w:val="none"/>
        </w:rPr>
      </w:pPr>
    </w:p>
    <w:bookmarkEnd w:id="232"/>
    <w:bookmarkEnd w:id="233"/>
    <w:p>
      <w:pPr>
        <w:rPr>
          <w:rFonts w:ascii="Times New Roman" w:hAnsi="Times New Roman"/>
          <w:b/>
          <w:color w:val="auto"/>
          <w:sz w:val="28"/>
          <w:szCs w:val="28"/>
          <w:highlight w:val="none"/>
        </w:rPr>
      </w:pPr>
      <w:r>
        <w:rPr>
          <w:rFonts w:ascii="Times New Roman" w:hAnsi="Times New Roman"/>
          <w:b/>
          <w:color w:val="auto"/>
          <w:sz w:val="28"/>
          <w:szCs w:val="28"/>
          <w:highlight w:val="none"/>
        </w:rPr>
        <w:br w:type="page"/>
      </w:r>
    </w:p>
    <w:p>
      <w:pPr>
        <w:pStyle w:val="4"/>
        <w:bidi w:val="0"/>
        <w:rPr>
          <w:color w:val="auto"/>
          <w:highlight w:val="none"/>
        </w:rPr>
      </w:pPr>
      <w:bookmarkStart w:id="234" w:name="_Toc22639"/>
      <w:bookmarkStart w:id="235" w:name="_Toc16955"/>
      <w:bookmarkStart w:id="236" w:name="_Toc2394"/>
      <w:bookmarkStart w:id="237" w:name="_Toc11816"/>
      <w:bookmarkStart w:id="238" w:name="_Toc30618"/>
      <w:r>
        <w:rPr>
          <w:color w:val="auto"/>
          <w:highlight w:val="none"/>
        </w:rPr>
        <w:t xml:space="preserve">6 </w:t>
      </w:r>
      <w:r>
        <w:rPr>
          <w:rFonts w:hint="eastAsia"/>
          <w:color w:val="auto"/>
          <w:highlight w:val="none"/>
          <w:lang w:val="en-US" w:eastAsia="zh-CN"/>
        </w:rPr>
        <w:t xml:space="preserve"> </w:t>
      </w:r>
      <w:r>
        <w:rPr>
          <w:rFonts w:hint="eastAsia"/>
          <w:color w:val="auto"/>
          <w:highlight w:val="none"/>
        </w:rPr>
        <w:t>施工</w:t>
      </w:r>
      <w:bookmarkEnd w:id="234"/>
      <w:bookmarkEnd w:id="235"/>
      <w:bookmarkEnd w:id="236"/>
      <w:bookmarkEnd w:id="237"/>
      <w:bookmarkEnd w:id="238"/>
    </w:p>
    <w:p>
      <w:pPr>
        <w:pStyle w:val="5"/>
        <w:bidi w:val="0"/>
        <w:rPr>
          <w:color w:val="auto"/>
          <w:highlight w:val="none"/>
        </w:rPr>
      </w:pPr>
      <w:bookmarkStart w:id="239" w:name="_Toc10003"/>
      <w:bookmarkStart w:id="240" w:name="_Toc31073"/>
      <w:bookmarkStart w:id="241" w:name="_Toc26648"/>
      <w:bookmarkStart w:id="242" w:name="_Toc21481"/>
      <w:bookmarkStart w:id="243" w:name="_Toc430006758"/>
      <w:r>
        <w:rPr>
          <w:color w:val="auto"/>
          <w:highlight w:val="none"/>
        </w:rPr>
        <w:t xml:space="preserve">6.1  </w:t>
      </w:r>
      <w:r>
        <w:rPr>
          <w:rFonts w:hint="eastAsia"/>
          <w:color w:val="auto"/>
          <w:highlight w:val="none"/>
        </w:rPr>
        <w:t>一般规定</w:t>
      </w:r>
      <w:bookmarkEnd w:id="239"/>
      <w:bookmarkEnd w:id="240"/>
      <w:bookmarkEnd w:id="241"/>
      <w:bookmarkEnd w:id="242"/>
      <w:bookmarkEnd w:id="243"/>
    </w:p>
    <w:p>
      <w:pPr>
        <w:spacing w:line="360" w:lineRule="auto"/>
        <w:outlineLvl w:val="2"/>
        <w:rPr>
          <w:rFonts w:hint="eastAsia" w:ascii="Times New Roman" w:hAnsi="Times New Roman"/>
          <w:color w:val="auto"/>
          <w:sz w:val="24"/>
          <w:szCs w:val="24"/>
          <w:highlight w:val="none"/>
          <w:lang w:val="en-US" w:eastAsia="zh-CN"/>
        </w:rPr>
      </w:pPr>
      <w:r>
        <w:rPr>
          <w:rFonts w:hint="eastAsia" w:ascii="Times New Roman" w:hAnsi="Times New Roman"/>
          <w:color w:val="auto"/>
          <w:sz w:val="24"/>
          <w:szCs w:val="24"/>
          <w:highlight w:val="none"/>
          <w:lang w:val="en-US" w:eastAsia="zh-CN"/>
        </w:rPr>
        <w:t>6.1.1 应按照经审查合格的施工图设计文件编制内保温系统专项施工方案，并应符合现行国家标准《建设工程施工现场消防安全技术规范》GB 50720的规定。</w:t>
      </w:r>
    </w:p>
    <w:p>
      <w:pPr>
        <w:pStyle w:val="2"/>
        <w:keepNext w:val="0"/>
        <w:keepLines w:val="0"/>
        <w:pageBreakBefore w:val="0"/>
        <w:widowControl w:val="0"/>
        <w:kinsoku/>
        <w:wordWrap/>
        <w:overflowPunct/>
        <w:topLinePunct w:val="0"/>
        <w:autoSpaceDE/>
        <w:autoSpaceDN/>
        <w:bidi w:val="0"/>
        <w:adjustRightInd/>
        <w:snapToGrid/>
        <w:spacing w:after="0" w:line="360" w:lineRule="auto"/>
        <w:ind w:firstLine="0"/>
        <w:textAlignment w:val="auto"/>
        <w:rPr>
          <w:rFonts w:ascii="Times New Roman" w:hAnsi="Times New Roman"/>
          <w:b/>
          <w:color w:val="auto"/>
          <w:sz w:val="24"/>
          <w:szCs w:val="24"/>
          <w:highlight w:val="none"/>
        </w:rPr>
      </w:pPr>
      <w:r>
        <w:rPr>
          <w:rFonts w:hint="eastAsia" w:ascii="楷体" w:hAnsi="楷体" w:eastAsia="楷体"/>
          <w:color w:val="auto"/>
          <w:sz w:val="24"/>
          <w:szCs w:val="24"/>
          <w:highlight w:val="none"/>
        </w:rPr>
        <w:t>【条文说明】</w:t>
      </w:r>
      <w:r>
        <w:rPr>
          <w:rFonts w:hint="eastAsia" w:ascii="楷体" w:hAnsi="楷体" w:eastAsia="楷体"/>
          <w:color w:val="auto"/>
          <w:sz w:val="24"/>
          <w:szCs w:val="24"/>
          <w:highlight w:val="none"/>
          <w:lang w:val="en-US" w:eastAsia="zh-CN"/>
        </w:rPr>
        <w:t>6.1.1经施工图审查机构审查通过建筑施工图设计文件是编制专项施工方案的主要依据，施工方案必须严格执行施工现场的消防安全技术规程，</w:t>
      </w:r>
      <w:r>
        <w:rPr>
          <w:rFonts w:hint="eastAsia" w:ascii="楷体" w:hAnsi="楷体" w:eastAsia="楷体"/>
          <w:color w:val="auto"/>
          <w:sz w:val="24"/>
          <w:szCs w:val="24"/>
          <w:highlight w:val="none"/>
        </w:rPr>
        <w:t>施工方案应经建设和监理单位审查。文件一经确定,施工中不得变更</w:t>
      </w:r>
      <w:r>
        <w:rPr>
          <w:rFonts w:hint="eastAsia" w:ascii="楷体" w:hAnsi="楷体" w:eastAsia="楷体"/>
          <w:color w:val="auto"/>
          <w:sz w:val="24"/>
          <w:szCs w:val="24"/>
          <w:highlight w:val="none"/>
          <w:lang w:eastAsia="zh-CN"/>
        </w:rPr>
        <w:t>，</w:t>
      </w:r>
      <w:r>
        <w:rPr>
          <w:rFonts w:hint="eastAsia" w:ascii="楷体" w:hAnsi="楷体" w:eastAsia="楷体"/>
          <w:color w:val="auto"/>
          <w:sz w:val="24"/>
          <w:szCs w:val="24"/>
          <w:highlight w:val="none"/>
        </w:rPr>
        <w:t>如需变更,应按原程序重新审查,</w:t>
      </w:r>
      <w:r>
        <w:rPr>
          <w:rFonts w:hint="eastAsia" w:ascii="楷体" w:hAnsi="楷体" w:eastAsia="楷体"/>
          <w:color w:val="auto"/>
          <w:sz w:val="24"/>
          <w:szCs w:val="24"/>
          <w:highlight w:val="none"/>
          <w:lang w:val="en-US" w:eastAsia="zh-CN"/>
        </w:rPr>
        <w:t>完成设计变更，设计变更不得降低建筑节能效果和系统安全性，经各方</w:t>
      </w:r>
      <w:r>
        <w:rPr>
          <w:rFonts w:hint="eastAsia" w:ascii="楷体" w:hAnsi="楷体" w:eastAsia="楷体"/>
          <w:color w:val="auto"/>
          <w:sz w:val="24"/>
          <w:szCs w:val="24"/>
          <w:highlight w:val="none"/>
        </w:rPr>
        <w:t>确认后方可施工</w:t>
      </w:r>
      <w:r>
        <w:rPr>
          <w:rFonts w:hint="eastAsia" w:ascii="楷体" w:hAnsi="楷体" w:eastAsia="楷体"/>
          <w:color w:val="auto"/>
          <w:sz w:val="24"/>
          <w:szCs w:val="24"/>
          <w:highlight w:val="none"/>
          <w:lang w:eastAsia="zh-CN"/>
        </w:rPr>
        <w:t>，</w:t>
      </w:r>
      <w:r>
        <w:rPr>
          <w:rFonts w:hint="eastAsia" w:ascii="楷体" w:hAnsi="楷体" w:eastAsia="楷体"/>
          <w:color w:val="auto"/>
          <w:sz w:val="24"/>
          <w:szCs w:val="24"/>
          <w:highlight w:val="none"/>
          <w:lang w:val="en-US" w:eastAsia="zh-CN"/>
        </w:rPr>
        <w:t>施工方应有针对性地编制专项施工方案并形成书面文件。</w:t>
      </w:r>
    </w:p>
    <w:p>
      <w:pPr>
        <w:spacing w:line="360" w:lineRule="auto"/>
        <w:outlineLvl w:val="2"/>
        <w:rPr>
          <w:rFonts w:hint="eastAsia" w:ascii="Times New Roman" w:hAnsi="Times New Roman"/>
          <w:color w:val="auto"/>
          <w:sz w:val="24"/>
          <w:szCs w:val="24"/>
          <w:highlight w:val="none"/>
        </w:rPr>
      </w:pPr>
      <w:r>
        <w:rPr>
          <w:rFonts w:hint="eastAsia" w:ascii="Times New Roman" w:hAnsi="Times New Roman"/>
          <w:color w:val="auto"/>
          <w:sz w:val="24"/>
          <w:szCs w:val="24"/>
          <w:highlight w:val="none"/>
          <w:lang w:val="en-US" w:eastAsia="zh-CN"/>
        </w:rPr>
        <w:t xml:space="preserve">6.1.2 复合板内保温系统施工前，应对施工人员进行技术交底和实际操作培训。复合板内保温系统供应商应安排专业人员在施工过程中进行现场指导，并配合施工人员和监理人员做好施工质量控制工作。 </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【条文说明】</w:t>
      </w:r>
      <w:r>
        <w:rPr>
          <w:rFonts w:hint="eastAsia" w:ascii="楷体" w:hAnsi="楷体" w:eastAsia="楷体"/>
          <w:color w:val="auto"/>
          <w:sz w:val="24"/>
          <w:szCs w:val="24"/>
          <w:highlight w:val="none"/>
          <w:lang w:val="en-US" w:eastAsia="zh-CN"/>
        </w:rPr>
        <w:t xml:space="preserve">6.1.2复合板内保注充的工程质量是通过合格的产品、严格的施工工艺、规范的操程得以保证的。复合板内保温系统施工前，应对施工人员进行技术要点讲解和规范操作培训，供应商派出专业人员给施工单位是供技术服务、有助于做好质量控制。 </w:t>
      </w:r>
    </w:p>
    <w:p>
      <w:pPr>
        <w:spacing w:line="360" w:lineRule="auto"/>
        <w:outlineLvl w:val="2"/>
        <w:rPr>
          <w:rFonts w:ascii="Times New Roman" w:hAnsi="Times New Roman"/>
          <w:color w:val="auto"/>
          <w:sz w:val="24"/>
          <w:szCs w:val="24"/>
          <w:highlight w:val="none"/>
        </w:rPr>
      </w:pPr>
      <w:r>
        <w:rPr>
          <w:rFonts w:ascii="Times New Roman" w:hAnsi="Times New Roman"/>
          <w:b/>
          <w:color w:val="auto"/>
          <w:sz w:val="24"/>
          <w:szCs w:val="24"/>
          <w:highlight w:val="none"/>
        </w:rPr>
        <w:t>6.1.</w:t>
      </w:r>
      <w:r>
        <w:rPr>
          <w:rFonts w:hint="eastAsia" w:ascii="Times New Roman" w:hAnsi="Times New Roman"/>
          <w:b/>
          <w:color w:val="auto"/>
          <w:sz w:val="24"/>
          <w:szCs w:val="24"/>
          <w:highlight w:val="none"/>
          <w:lang w:val="en-US" w:eastAsia="zh-CN"/>
        </w:rPr>
        <w:t xml:space="preserve">3 </w:t>
      </w:r>
      <w:r>
        <w:rPr>
          <w:rFonts w:hint="eastAsia" w:ascii="Times New Roman" w:hAnsi="Times New Roman"/>
          <w:color w:val="auto"/>
          <w:sz w:val="24"/>
          <w:szCs w:val="24"/>
          <w:highlight w:val="none"/>
        </w:rPr>
        <w:t>内保温系统工程施工</w:t>
      </w:r>
      <w:r>
        <w:rPr>
          <w:rFonts w:hint="eastAsia" w:ascii="Times New Roman" w:hAnsi="Times New Roman"/>
          <w:color w:val="auto"/>
          <w:sz w:val="24"/>
          <w:highlight w:val="none"/>
        </w:rPr>
        <w:t>应在</w:t>
      </w:r>
      <w:r>
        <w:rPr>
          <w:rFonts w:hint="eastAsia" w:ascii="Times New Roman" w:hAnsi="Times New Roman"/>
          <w:color w:val="auto"/>
          <w:sz w:val="24"/>
          <w:szCs w:val="24"/>
          <w:highlight w:val="none"/>
        </w:rPr>
        <w:t>下列项目质量验收合格后进行：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Times New Roman" w:hAnsi="Times New Roman"/>
          <w:color w:val="auto"/>
          <w:sz w:val="24"/>
          <w:szCs w:val="24"/>
          <w:highlight w:val="none"/>
        </w:rPr>
      </w:pPr>
      <w:r>
        <w:rPr>
          <w:rFonts w:ascii="Times New Roman" w:hAnsi="Times New Roman"/>
          <w:bCs/>
          <w:color w:val="auto"/>
          <w:sz w:val="24"/>
          <w:szCs w:val="24"/>
          <w:highlight w:val="none"/>
        </w:rPr>
        <w:t>1</w:t>
      </w:r>
      <w:r>
        <w:rPr>
          <w:rFonts w:hint="eastAsia" w:ascii="Times New Roman" w:hAnsi="Times New Roman"/>
          <w:color w:val="auto"/>
          <w:sz w:val="24"/>
          <w:szCs w:val="24"/>
          <w:highlight w:val="none"/>
        </w:rPr>
        <w:t>找平层施工完毕，</w:t>
      </w:r>
      <w:r>
        <w:rPr>
          <w:rFonts w:hint="eastAsia" w:ascii="Times New Roman" w:hAnsi="Times New Roman"/>
          <w:color w:val="auto"/>
          <w:sz w:val="24"/>
          <w:highlight w:val="none"/>
        </w:rPr>
        <w:t>施工质量经验收合格</w:t>
      </w:r>
      <w:r>
        <w:rPr>
          <w:rFonts w:hint="eastAsia" w:ascii="Times New Roman" w:hAnsi="Times New Roman"/>
          <w:color w:val="auto"/>
          <w:sz w:val="24"/>
          <w:szCs w:val="24"/>
          <w:highlight w:val="none"/>
        </w:rPr>
        <w:t>。</w:t>
      </w:r>
    </w:p>
    <w:p>
      <w:pPr>
        <w:spacing w:line="360" w:lineRule="auto"/>
        <w:ind w:firstLine="480" w:firstLineChars="200"/>
        <w:rPr>
          <w:rFonts w:ascii="Times New Roman" w:hAnsi="Times New Roman"/>
          <w:color w:val="auto"/>
          <w:sz w:val="24"/>
          <w:szCs w:val="24"/>
          <w:highlight w:val="none"/>
        </w:rPr>
      </w:pPr>
      <w:r>
        <w:rPr>
          <w:rFonts w:ascii="Times New Roman" w:hAnsi="Times New Roman"/>
          <w:bCs/>
          <w:color w:val="auto"/>
          <w:sz w:val="24"/>
          <w:szCs w:val="24"/>
          <w:highlight w:val="none"/>
        </w:rPr>
        <w:t>2</w:t>
      </w:r>
      <w:r>
        <w:rPr>
          <w:rFonts w:hint="eastAsia" w:ascii="Times New Roman" w:hAnsi="Times New Roman"/>
          <w:color w:val="auto"/>
          <w:sz w:val="24"/>
          <w:szCs w:val="24"/>
          <w:highlight w:val="none"/>
        </w:rPr>
        <w:t>外门窗框应安装完毕，</w:t>
      </w:r>
      <w:r>
        <w:rPr>
          <w:rFonts w:hint="eastAsia" w:ascii="Times New Roman" w:hAnsi="Times New Roman"/>
          <w:color w:val="auto"/>
          <w:sz w:val="24"/>
          <w:highlight w:val="none"/>
        </w:rPr>
        <w:t>门窗框、凸窗需按保温设计要求预留出保温层厚度。</w:t>
      </w:r>
    </w:p>
    <w:p>
      <w:pPr>
        <w:spacing w:line="360" w:lineRule="auto"/>
        <w:ind w:firstLine="480" w:firstLineChars="200"/>
        <w:rPr>
          <w:rFonts w:ascii="Times New Roman" w:hAnsi="Times New Roman"/>
          <w:color w:val="auto"/>
          <w:sz w:val="24"/>
          <w:szCs w:val="24"/>
          <w:highlight w:val="none"/>
        </w:rPr>
      </w:pPr>
      <w:r>
        <w:rPr>
          <w:rFonts w:ascii="Times New Roman" w:hAnsi="Times New Roman"/>
          <w:bCs/>
          <w:color w:val="auto"/>
          <w:sz w:val="24"/>
          <w:szCs w:val="24"/>
          <w:highlight w:val="none"/>
        </w:rPr>
        <w:t>3</w:t>
      </w:r>
      <w:r>
        <w:rPr>
          <w:rFonts w:hint="eastAsia" w:ascii="Times New Roman" w:hAnsi="Times New Roman"/>
          <w:color w:val="auto"/>
          <w:sz w:val="24"/>
          <w:szCs w:val="24"/>
          <w:highlight w:val="none"/>
        </w:rPr>
        <w:t>电气工程、水暖及装饰工程的管线、管卡、挂件、接线盒等预埋件，应留出位置或预埋完毕，并完成暗管线的穿带线工作。</w:t>
      </w:r>
    </w:p>
    <w:p>
      <w:pPr>
        <w:spacing w:line="360" w:lineRule="auto"/>
        <w:ind w:firstLine="480" w:firstLineChars="200"/>
        <w:rPr>
          <w:rFonts w:ascii="Times New Roman" w:hAnsi="Times New Roman"/>
          <w:color w:val="auto"/>
          <w:sz w:val="24"/>
          <w:szCs w:val="24"/>
          <w:highlight w:val="none"/>
        </w:rPr>
      </w:pPr>
      <w:r>
        <w:rPr>
          <w:rFonts w:ascii="Times New Roman" w:hAnsi="Times New Roman"/>
          <w:bCs/>
          <w:color w:val="auto"/>
          <w:sz w:val="24"/>
          <w:szCs w:val="24"/>
          <w:highlight w:val="none"/>
        </w:rPr>
        <w:t>4</w:t>
      </w:r>
      <w:r>
        <w:rPr>
          <w:rFonts w:hint="eastAsia" w:ascii="Times New Roman" w:hAnsi="Times New Roman"/>
          <w:color w:val="auto"/>
          <w:sz w:val="24"/>
          <w:szCs w:val="24"/>
          <w:highlight w:val="none"/>
        </w:rPr>
        <w:t>墙体（穿墙套管、脚手架眼、管线槽等）已采取填平补强措施处理。</w:t>
      </w:r>
    </w:p>
    <w:p>
      <w:pPr>
        <w:spacing w:line="360" w:lineRule="auto"/>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【条文说明】</w:t>
      </w:r>
      <w:r>
        <w:rPr>
          <w:rFonts w:hint="eastAsia" w:ascii="楷体" w:hAnsi="楷体" w:eastAsia="楷体"/>
          <w:color w:val="auto"/>
          <w:sz w:val="24"/>
          <w:szCs w:val="24"/>
          <w:highlight w:val="none"/>
          <w:lang w:val="en-US" w:eastAsia="zh-CN"/>
        </w:rPr>
        <w:t>6.1.3</w:t>
      </w:r>
      <w:r>
        <w:rPr>
          <w:rFonts w:hint="eastAsia" w:ascii="楷体" w:hAnsi="楷体" w:eastAsia="楷体"/>
          <w:color w:val="auto"/>
          <w:sz w:val="24"/>
          <w:szCs w:val="24"/>
          <w:highlight w:val="none"/>
        </w:rPr>
        <w:t>本条是为了确保建筑内保温系统工程施工质量,同时以便对热桥部位进行保温处理。</w:t>
      </w:r>
    </w:p>
    <w:p>
      <w:pPr>
        <w:spacing w:line="360" w:lineRule="auto"/>
        <w:outlineLvl w:val="2"/>
        <w:rPr>
          <w:rFonts w:hint="eastAsia" w:ascii="Times New Roman" w:hAnsi="Times New Roman"/>
          <w:color w:val="auto"/>
          <w:sz w:val="24"/>
          <w:szCs w:val="24"/>
          <w:highlight w:val="none"/>
          <w:lang w:val="en-US" w:eastAsia="zh-CN"/>
        </w:rPr>
      </w:pPr>
      <w:r>
        <w:rPr>
          <w:rFonts w:ascii="Times New Roman" w:hAnsi="Times New Roman"/>
          <w:b/>
          <w:color w:val="auto"/>
          <w:sz w:val="24"/>
          <w:szCs w:val="24"/>
          <w:highlight w:val="none"/>
        </w:rPr>
        <w:t>6.1.</w:t>
      </w:r>
      <w:r>
        <w:rPr>
          <w:rFonts w:hint="eastAsia" w:ascii="Times New Roman" w:hAnsi="Times New Roman"/>
          <w:b/>
          <w:color w:val="auto"/>
          <w:sz w:val="24"/>
          <w:szCs w:val="24"/>
          <w:highlight w:val="none"/>
          <w:lang w:val="en-US" w:eastAsia="zh-CN"/>
        </w:rPr>
        <w:t>4</w:t>
      </w:r>
      <w:r>
        <w:rPr>
          <w:rFonts w:ascii="Times New Roman" w:hAnsi="Times New Roman"/>
          <w:b/>
          <w:color w:val="auto"/>
          <w:sz w:val="24"/>
          <w:szCs w:val="24"/>
          <w:highlight w:val="none"/>
        </w:rPr>
        <w:t xml:space="preserve"> </w:t>
      </w:r>
      <w:r>
        <w:rPr>
          <w:rFonts w:hint="eastAsia" w:ascii="Times New Roman" w:hAnsi="Times New Roman"/>
          <w:color w:val="auto"/>
          <w:sz w:val="24"/>
          <w:szCs w:val="24"/>
          <w:highlight w:val="none"/>
        </w:rPr>
        <w:t>材料进场时，应有产品合格证、检验试验报告等质量证明文件，并应按照规定进行见证抽样、复验，合格后方可使用。</w:t>
      </w:r>
      <w:r>
        <w:rPr>
          <w:rFonts w:hint="eastAsia" w:ascii="Times New Roman" w:hAnsi="Times New Roman"/>
          <w:color w:val="auto"/>
          <w:sz w:val="24"/>
          <w:szCs w:val="24"/>
          <w:highlight w:val="none"/>
          <w:lang w:val="en-US" w:eastAsia="zh-CN"/>
        </w:rPr>
        <w:t>施工前进行防火性能现场点火测试。</w:t>
      </w:r>
    </w:p>
    <w:p>
      <w:pPr>
        <w:spacing w:line="360" w:lineRule="auto"/>
        <w:outlineLvl w:val="2"/>
        <w:rPr>
          <w:rFonts w:ascii="Times New Roman" w:hAnsi="Times New Roman"/>
          <w:color w:val="auto"/>
          <w:sz w:val="24"/>
          <w:szCs w:val="24"/>
          <w:highlight w:val="none"/>
        </w:rPr>
      </w:pPr>
      <w:r>
        <w:rPr>
          <w:rFonts w:ascii="Times New Roman" w:hAnsi="Times New Roman"/>
          <w:b/>
          <w:color w:val="auto"/>
          <w:sz w:val="24"/>
          <w:szCs w:val="24"/>
          <w:highlight w:val="none"/>
        </w:rPr>
        <w:t>6.1.</w:t>
      </w:r>
      <w:r>
        <w:rPr>
          <w:rFonts w:hint="eastAsia" w:ascii="Times New Roman" w:hAnsi="Times New Roman"/>
          <w:b/>
          <w:color w:val="auto"/>
          <w:sz w:val="24"/>
          <w:szCs w:val="24"/>
          <w:highlight w:val="none"/>
          <w:lang w:val="en-US" w:eastAsia="zh-CN"/>
        </w:rPr>
        <w:t>5</w:t>
      </w:r>
      <w:r>
        <w:rPr>
          <w:rFonts w:ascii="Times New Roman" w:hAnsi="Times New Roman"/>
          <w:b/>
          <w:color w:val="auto"/>
          <w:sz w:val="24"/>
          <w:szCs w:val="24"/>
          <w:highlight w:val="none"/>
        </w:rPr>
        <w:t xml:space="preserve"> </w:t>
      </w:r>
      <w:r>
        <w:rPr>
          <w:rFonts w:hint="eastAsia" w:ascii="Times New Roman" w:hAnsi="Times New Roman"/>
          <w:color w:val="auto"/>
          <w:sz w:val="24"/>
          <w:szCs w:val="24"/>
          <w:highlight w:val="none"/>
        </w:rPr>
        <w:t>内保温系统工程施工期间以及完工后</w:t>
      </w:r>
      <w:r>
        <w:rPr>
          <w:rFonts w:ascii="Times New Roman" w:hAnsi="Times New Roman"/>
          <w:color w:val="auto"/>
          <w:sz w:val="24"/>
          <w:szCs w:val="24"/>
          <w:highlight w:val="none"/>
        </w:rPr>
        <w:t>24h</w:t>
      </w:r>
      <w:r>
        <w:rPr>
          <w:rFonts w:hint="eastAsia" w:ascii="Times New Roman" w:hAnsi="Times New Roman"/>
          <w:color w:val="auto"/>
          <w:sz w:val="24"/>
          <w:szCs w:val="24"/>
          <w:highlight w:val="none"/>
        </w:rPr>
        <w:t>内，基层墙体、屋面及环境空气最低温度不得低于</w:t>
      </w:r>
      <w:r>
        <w:rPr>
          <w:rFonts w:ascii="Times New Roman" w:hAnsi="Times New Roman"/>
          <w:color w:val="auto"/>
          <w:sz w:val="24"/>
          <w:szCs w:val="24"/>
          <w:highlight w:val="none"/>
        </w:rPr>
        <w:t>0℃</w:t>
      </w:r>
      <w:r>
        <w:rPr>
          <w:rFonts w:hint="eastAsia" w:ascii="Times New Roman" w:hAnsi="Times New Roman"/>
          <w:color w:val="auto"/>
          <w:sz w:val="24"/>
          <w:szCs w:val="24"/>
          <w:highlight w:val="none"/>
        </w:rPr>
        <w:t>，且平均温度不应低于</w:t>
      </w:r>
      <w:r>
        <w:rPr>
          <w:rFonts w:ascii="Times New Roman" w:hAnsi="Times New Roman"/>
          <w:color w:val="auto"/>
          <w:sz w:val="24"/>
          <w:szCs w:val="24"/>
          <w:highlight w:val="none"/>
        </w:rPr>
        <w:t>5℃</w:t>
      </w:r>
      <w:r>
        <w:rPr>
          <w:rFonts w:hint="eastAsia" w:ascii="Times New Roman" w:hAnsi="Times New Roman"/>
          <w:color w:val="auto"/>
          <w:sz w:val="24"/>
          <w:szCs w:val="24"/>
          <w:highlight w:val="none"/>
        </w:rPr>
        <w:t>。</w:t>
      </w:r>
    </w:p>
    <w:p>
      <w:pPr>
        <w:spacing w:line="360" w:lineRule="auto"/>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【条文说明】</w:t>
      </w:r>
      <w:r>
        <w:rPr>
          <w:rFonts w:hint="eastAsia" w:ascii="楷体" w:hAnsi="楷体" w:eastAsia="楷体"/>
          <w:color w:val="auto"/>
          <w:sz w:val="24"/>
          <w:szCs w:val="24"/>
          <w:highlight w:val="none"/>
          <w:lang w:val="en-US" w:eastAsia="zh-CN"/>
        </w:rPr>
        <w:t>6.1.5</w:t>
      </w:r>
      <w:r>
        <w:rPr>
          <w:rFonts w:hint="eastAsia" w:ascii="楷体" w:hAnsi="楷体" w:eastAsia="楷体"/>
          <w:color w:val="auto"/>
          <w:sz w:val="24"/>
          <w:szCs w:val="24"/>
          <w:highlight w:val="none"/>
        </w:rPr>
        <w:t>室内度低于5℃施工，保温砂浆、找平层材料、界面砂浆、粘结材料、抹面材料等的长期性能下降，造成工程隐患。</w:t>
      </w:r>
    </w:p>
    <w:p>
      <w:pPr>
        <w:spacing w:line="360" w:lineRule="auto"/>
        <w:outlineLvl w:val="2"/>
        <w:rPr>
          <w:rFonts w:hint="eastAsia" w:ascii="Times New Roman" w:hAnsi="Times New Roman"/>
          <w:color w:val="auto"/>
          <w:sz w:val="24"/>
          <w:highlight w:val="none"/>
        </w:rPr>
      </w:pPr>
      <w:r>
        <w:rPr>
          <w:rFonts w:ascii="Times New Roman" w:hAnsi="Times New Roman"/>
          <w:b/>
          <w:color w:val="auto"/>
          <w:sz w:val="24"/>
          <w:szCs w:val="24"/>
          <w:highlight w:val="none"/>
        </w:rPr>
        <w:t>6.1.</w:t>
      </w:r>
      <w:r>
        <w:rPr>
          <w:rFonts w:hint="eastAsia" w:ascii="Times New Roman" w:hAnsi="Times New Roman"/>
          <w:b/>
          <w:color w:val="auto"/>
          <w:sz w:val="24"/>
          <w:szCs w:val="24"/>
          <w:highlight w:val="none"/>
          <w:lang w:val="en-US" w:eastAsia="zh-CN"/>
        </w:rPr>
        <w:t>6</w:t>
      </w:r>
      <w:r>
        <w:rPr>
          <w:rFonts w:ascii="Times New Roman" w:hAnsi="Times New Roman"/>
          <w:b/>
          <w:color w:val="auto"/>
          <w:sz w:val="24"/>
          <w:szCs w:val="24"/>
          <w:highlight w:val="none"/>
        </w:rPr>
        <w:t xml:space="preserve"> </w:t>
      </w:r>
      <w:r>
        <w:rPr>
          <w:rFonts w:hint="eastAsia" w:ascii="Times New Roman" w:hAnsi="Times New Roman"/>
          <w:color w:val="auto"/>
          <w:sz w:val="24"/>
          <w:highlight w:val="none"/>
        </w:rPr>
        <w:t>大面积施工前，应在现场采用相同材料、构造做法和工艺制作样板，经有关各方确认后方可进行施工。</w:t>
      </w:r>
    </w:p>
    <w:p>
      <w:pPr>
        <w:spacing w:line="360" w:lineRule="auto"/>
        <w:outlineLvl w:val="2"/>
        <w:rPr>
          <w:rFonts w:hint="eastAsia" w:ascii="Times New Roman" w:hAnsi="Times New Roman"/>
          <w:color w:val="auto"/>
          <w:sz w:val="24"/>
          <w:highlight w:val="none"/>
          <w:lang w:eastAsia="zh-CN"/>
        </w:rPr>
      </w:pPr>
      <w:r>
        <w:rPr>
          <w:rFonts w:hint="eastAsia" w:ascii="Times New Roman" w:hAnsi="Times New Roman"/>
          <w:color w:val="auto"/>
          <w:sz w:val="24"/>
          <w:highlight w:val="none"/>
          <w:lang w:eastAsia="zh-CN"/>
        </w:rPr>
        <w:t>6.1.</w:t>
      </w:r>
      <w:r>
        <w:rPr>
          <w:rFonts w:hint="eastAsia" w:ascii="Times New Roman" w:hAnsi="Times New Roman"/>
          <w:color w:val="auto"/>
          <w:sz w:val="24"/>
          <w:highlight w:val="none"/>
          <w:lang w:val="en-US" w:eastAsia="zh-CN"/>
        </w:rPr>
        <w:t>7</w:t>
      </w:r>
      <w:r>
        <w:rPr>
          <w:rFonts w:hint="eastAsia" w:ascii="Times New Roman" w:hAnsi="Times New Roman"/>
          <w:color w:val="auto"/>
          <w:sz w:val="24"/>
          <w:highlight w:val="none"/>
          <w:lang w:eastAsia="zh-CN"/>
        </w:rPr>
        <w:t xml:space="preserve"> 施工单位应按照</w:t>
      </w:r>
      <w:r>
        <w:rPr>
          <w:rFonts w:hint="eastAsia" w:ascii="Times New Roman" w:hAnsi="Times New Roman"/>
          <w:color w:val="auto"/>
          <w:sz w:val="24"/>
          <w:highlight w:val="none"/>
          <w:lang w:val="en-US" w:eastAsia="zh-CN"/>
        </w:rPr>
        <w:t>内</w:t>
      </w:r>
      <w:r>
        <w:rPr>
          <w:rFonts w:hint="eastAsia" w:ascii="Times New Roman" w:hAnsi="Times New Roman"/>
          <w:color w:val="auto"/>
          <w:sz w:val="24"/>
          <w:highlight w:val="none"/>
          <w:lang w:eastAsia="zh-CN"/>
        </w:rPr>
        <w:t>保温系统施工</w:t>
      </w:r>
      <w:r>
        <w:rPr>
          <w:rFonts w:hint="eastAsia" w:ascii="Times New Roman" w:hAnsi="Times New Roman"/>
          <w:color w:val="auto"/>
          <w:sz w:val="24"/>
          <w:highlight w:val="none"/>
          <w:lang w:val="en-US" w:eastAsia="zh-CN"/>
        </w:rPr>
        <w:t>方案</w:t>
      </w:r>
      <w:r>
        <w:rPr>
          <w:rFonts w:hint="eastAsia" w:ascii="Times New Roman" w:hAnsi="Times New Roman"/>
          <w:color w:val="auto"/>
          <w:sz w:val="24"/>
          <w:highlight w:val="none"/>
          <w:lang w:eastAsia="zh-CN"/>
        </w:rPr>
        <w:t>，做好生产、运输</w:t>
      </w:r>
      <w:r>
        <w:rPr>
          <w:rFonts w:hint="eastAsia" w:ascii="Times New Roman" w:hAnsi="Times New Roman"/>
          <w:color w:val="auto"/>
          <w:sz w:val="24"/>
          <w:highlight w:val="none"/>
          <w:lang w:val="en-US" w:eastAsia="zh-CN"/>
        </w:rPr>
        <w:t>及现场吊装</w:t>
      </w:r>
      <w:r>
        <w:rPr>
          <w:rFonts w:hint="eastAsia" w:ascii="Times New Roman" w:hAnsi="Times New Roman"/>
          <w:color w:val="auto"/>
          <w:sz w:val="24"/>
          <w:highlight w:val="none"/>
          <w:lang w:eastAsia="zh-CN"/>
        </w:rPr>
        <w:t>组织，</w:t>
      </w:r>
      <w:r>
        <w:rPr>
          <w:rFonts w:hint="eastAsia" w:ascii="Times New Roman" w:hAnsi="Times New Roman"/>
          <w:color w:val="auto"/>
          <w:sz w:val="24"/>
          <w:highlight w:val="none"/>
          <w:lang w:val="en-US" w:eastAsia="zh-CN"/>
        </w:rPr>
        <w:t>过程中不得碰撞损坏内保温</w:t>
      </w:r>
      <w:r>
        <w:rPr>
          <w:rFonts w:hint="eastAsia" w:ascii="Times New Roman" w:hAnsi="Times New Roman"/>
          <w:color w:val="auto"/>
          <w:sz w:val="24"/>
          <w:highlight w:val="none"/>
          <w:lang w:eastAsia="zh-CN"/>
        </w:rPr>
        <w:t>板，</w:t>
      </w:r>
      <w:r>
        <w:rPr>
          <w:rFonts w:hint="eastAsia" w:ascii="Times New Roman" w:hAnsi="Times New Roman"/>
          <w:color w:val="auto"/>
          <w:sz w:val="24"/>
          <w:highlight w:val="none"/>
          <w:lang w:val="en-US" w:eastAsia="zh-CN"/>
        </w:rPr>
        <w:t>并采取相应的防潮、防水、防火等保护措施</w:t>
      </w:r>
      <w:r>
        <w:rPr>
          <w:rFonts w:hint="eastAsia" w:ascii="Times New Roman" w:hAnsi="Times New Roman"/>
          <w:color w:val="auto"/>
          <w:sz w:val="24"/>
          <w:highlight w:val="none"/>
          <w:lang w:eastAsia="zh-CN"/>
        </w:rPr>
        <w:t>。</w:t>
      </w:r>
      <w:r>
        <w:rPr>
          <w:rFonts w:hint="eastAsia" w:ascii="Times New Roman" w:hAnsi="Times New Roman"/>
          <w:color w:val="auto"/>
          <w:sz w:val="24"/>
          <w:highlight w:val="none"/>
          <w:lang w:val="en-US" w:eastAsia="zh-CN"/>
        </w:rPr>
        <w:t>作业机具、工具应在施工前准备齐全，并经检验合格，满足安全性、可靠性要求</w:t>
      </w:r>
      <w:r>
        <w:rPr>
          <w:rFonts w:hint="eastAsia" w:ascii="Times New Roman" w:hAnsi="Times New Roman"/>
          <w:color w:val="auto"/>
          <w:sz w:val="24"/>
          <w:highlight w:val="none"/>
          <w:lang w:eastAsia="zh-CN"/>
        </w:rPr>
        <w:t>。</w:t>
      </w:r>
    </w:p>
    <w:p>
      <w:pPr>
        <w:pStyle w:val="5"/>
        <w:bidi w:val="0"/>
        <w:rPr>
          <w:color w:val="auto"/>
          <w:highlight w:val="none"/>
        </w:rPr>
      </w:pPr>
      <w:bookmarkStart w:id="244" w:name="_Toc20158"/>
      <w:bookmarkStart w:id="245" w:name="_Toc22312"/>
      <w:bookmarkStart w:id="246" w:name="_Toc430006759"/>
      <w:bookmarkStart w:id="247" w:name="_Toc18503"/>
      <w:bookmarkStart w:id="248" w:name="_Toc22927"/>
      <w:r>
        <w:rPr>
          <w:color w:val="auto"/>
          <w:highlight w:val="none"/>
        </w:rPr>
        <w:t xml:space="preserve">6.2  </w:t>
      </w:r>
      <w:r>
        <w:rPr>
          <w:rFonts w:hint="eastAsia"/>
          <w:color w:val="auto"/>
          <w:highlight w:val="none"/>
        </w:rPr>
        <w:t>施工工序及要点</w:t>
      </w:r>
      <w:bookmarkEnd w:id="244"/>
      <w:bookmarkEnd w:id="245"/>
      <w:bookmarkEnd w:id="246"/>
      <w:bookmarkEnd w:id="247"/>
      <w:bookmarkEnd w:id="248"/>
    </w:p>
    <w:p>
      <w:pPr>
        <w:spacing w:before="100" w:after="100" w:line="360" w:lineRule="auto"/>
        <w:outlineLvl w:val="2"/>
        <w:rPr>
          <w:rFonts w:ascii="Times New Roman" w:hAnsi="Times New Roman"/>
          <w:color w:val="auto"/>
          <w:sz w:val="24"/>
          <w:szCs w:val="24"/>
          <w:highlight w:val="none"/>
        </w:rPr>
      </w:pPr>
      <w:r>
        <w:rPr>
          <w:rFonts w:ascii="Times New Roman" w:hAnsi="Times New Roman"/>
          <w:b/>
          <w:color w:val="auto"/>
          <w:sz w:val="24"/>
          <w:szCs w:val="24"/>
          <w:highlight w:val="none"/>
        </w:rPr>
        <w:t>6.2.1</w:t>
      </w:r>
      <w:r>
        <w:rPr>
          <w:rFonts w:hint="eastAsia" w:ascii="Times New Roman" w:hAnsi="Times New Roman"/>
          <w:b/>
          <w:color w:val="auto"/>
          <w:sz w:val="24"/>
          <w:szCs w:val="24"/>
          <w:highlight w:val="none"/>
          <w:lang w:val="en-US" w:eastAsia="zh-CN"/>
        </w:rPr>
        <w:t xml:space="preserve"> </w:t>
      </w:r>
      <w:r>
        <w:rPr>
          <w:rFonts w:hint="eastAsia" w:ascii="Times New Roman" w:hAnsi="Times New Roman"/>
          <w:color w:val="auto"/>
          <w:sz w:val="24"/>
          <w:szCs w:val="24"/>
          <w:highlight w:val="none"/>
        </w:rPr>
        <w:t>保温复合板施工工序应按图</w:t>
      </w:r>
      <w:r>
        <w:rPr>
          <w:rFonts w:ascii="Times New Roman" w:hAnsi="Times New Roman"/>
          <w:color w:val="auto"/>
          <w:sz w:val="24"/>
          <w:szCs w:val="24"/>
          <w:highlight w:val="none"/>
        </w:rPr>
        <w:t>6.2.1</w:t>
      </w:r>
      <w:r>
        <w:rPr>
          <w:rFonts w:hint="eastAsia" w:ascii="Times New Roman" w:hAnsi="Times New Roman"/>
          <w:color w:val="auto"/>
          <w:sz w:val="24"/>
          <w:szCs w:val="24"/>
          <w:highlight w:val="none"/>
        </w:rPr>
        <w:t>所示流程进行：</w:t>
      </w:r>
    </w:p>
    <w:p>
      <w:pPr>
        <w:spacing w:before="100" w:after="100" w:line="360" w:lineRule="auto"/>
        <w:jc w:val="center"/>
        <w:rPr>
          <w:rFonts w:ascii="Times New Roman" w:hAnsi="Times New Roman"/>
          <w:color w:val="auto"/>
          <w:sz w:val="24"/>
          <w:szCs w:val="24"/>
          <w:highlight w:val="none"/>
        </w:rPr>
      </w:pPr>
      <w:r>
        <w:rPr>
          <w:color w:val="auto"/>
          <w:highlight w:val="none"/>
        </w:rPr>
        <mc:AlternateContent>
          <mc:Choice Requires="wps">
            <w:drawing>
              <wp:anchor distT="0" distB="0" distL="114300" distR="114300" simplePos="0" relativeHeight="251661312" behindDoc="0" locked="0" layoutInCell="1" allowOverlap="1">
                <wp:simplePos x="0" y="0"/>
                <wp:positionH relativeFrom="column">
                  <wp:posOffset>2238375</wp:posOffset>
                </wp:positionH>
                <wp:positionV relativeFrom="paragraph">
                  <wp:posOffset>321310</wp:posOffset>
                </wp:positionV>
                <wp:extent cx="0" cy="238760"/>
                <wp:effectExtent l="0" t="0" r="0" b="0"/>
                <wp:wrapNone/>
                <wp:docPr id="18" name="直接箭头连接符 18"/>
                <wp:cNvGraphicFramePr/>
                <a:graphic xmlns:a="http://schemas.openxmlformats.org/drawingml/2006/main">
                  <a:graphicData uri="http://schemas.microsoft.com/office/word/2010/wordprocessingShape">
                    <wps:wsp>
                      <wps:cNvCnPr/>
                      <wps:spPr>
                        <a:xfrm>
                          <a:off x="0" y="0"/>
                          <a:ext cx="0" cy="23876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76.25pt;margin-top:25.3pt;height:18.8pt;width:0pt;z-index:251661312;mso-width-relative:page;mso-height-relative:page;" filled="f" stroked="t" coordsize="21600,21600" o:gfxdata="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hkMr9gAAAAJAQAADwAAAAAAAAABACAAAAAi&#10;AAAAZHJzL2Rvd25yZXYueG1sUEsBAhQAFAAAAAgAh07iQLNDEsgKAgAA/wMAAA4AAAAAAAAAAQAg&#10;AAAAJwEAAGRycy9lMm9Eb2MueG1sUEsFBgAAAAAGAAYAWQEAAKMFAAAAAA==&#10;">
                <v:fill on="f" focussize="0,0"/>
                <v:stroke color="#000000" joinstyle="round" endarrow="block"/>
                <v:imagedata o:title=""/>
                <o:lock v:ext="edit" aspectratio="f"/>
              </v:shape>
            </w:pict>
          </mc:Fallback>
        </mc:AlternateContent>
      </w:r>
      <w:r>
        <w:rPr>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1642745</wp:posOffset>
                </wp:positionH>
                <wp:positionV relativeFrom="paragraph">
                  <wp:posOffset>8890</wp:posOffset>
                </wp:positionV>
                <wp:extent cx="1191895" cy="288290"/>
                <wp:effectExtent l="0" t="0" r="0" b="0"/>
                <wp:wrapNone/>
                <wp:docPr id="29" name="矩形 29"/>
                <wp:cNvGraphicFramePr/>
                <a:graphic xmlns:a="http://schemas.openxmlformats.org/drawingml/2006/main">
                  <a:graphicData uri="http://schemas.microsoft.com/office/word/2010/wordprocessingShape">
                    <wps:wsp>
                      <wps:cNvSpPr/>
                      <wps:spPr>
                        <a:xfrm>
                          <a:off x="0" y="0"/>
                          <a:ext cx="1191895" cy="2882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宋体" w:cs="宋体"/>
                                <w:sz w:val="24"/>
                                <w:szCs w:val="24"/>
                              </w:rPr>
                            </w:pPr>
                            <w:r>
                              <w:rPr>
                                <w:rFonts w:hint="eastAsia" w:ascii="宋体" w:hAnsi="宋体" w:cs="宋体"/>
                                <w:sz w:val="24"/>
                                <w:szCs w:val="24"/>
                              </w:rPr>
                              <w:t>基层检查</w:t>
                            </w:r>
                          </w:p>
                        </w:txbxContent>
                      </wps:txbx>
                      <wps:bodyPr upright="1"/>
                    </wps:wsp>
                  </a:graphicData>
                </a:graphic>
              </wp:anchor>
            </w:drawing>
          </mc:Choice>
          <mc:Fallback>
            <w:pict>
              <v:rect id="_x0000_s1026" o:spid="_x0000_s1026" o:spt="1" style="position:absolute;left:0pt;margin-left:129.35pt;margin-top:0.7pt;height:22.7pt;width:93.85pt;z-index:251660288;mso-width-relative:page;mso-height-relative:page;" fillcolor="#FFFFFF" filled="t" stroked="t" coordsize="21600,21600" o:gfxdata="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&#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PIY9r1gAAAAgBAAAPAAAAAAAAAAEAIAAAACIAAABk&#10;cnMvZG93bnJldi54bWxQSwECFAAUAAAACACHTuJADnw3HwgCAAA5BAAADgAAAAAAAAABACAAAAAl&#10;AQAAZHJzL2Uyb0RvYy54bWxQSwUGAAAAAAYABgBZAQAAnwUAAAAA&#10;">
                <v:fill on="t" focussize="0,0"/>
                <v:stroke color="#000000" joinstyle="miter"/>
                <v:imagedata o:title=""/>
                <o:lock v:ext="edit" aspectratio="f"/>
                <v:textbox>
                  <w:txbxContent>
                    <w:p>
                      <w:pPr>
                        <w:jc w:val="center"/>
                        <w:rPr>
                          <w:rFonts w:ascii="宋体" w:cs="宋体"/>
                          <w:sz w:val="24"/>
                          <w:szCs w:val="24"/>
                        </w:rPr>
                      </w:pPr>
                      <w:r>
                        <w:rPr>
                          <w:rFonts w:hint="eastAsia" w:ascii="宋体" w:hAnsi="宋体" w:cs="宋体"/>
                          <w:sz w:val="24"/>
                          <w:szCs w:val="24"/>
                        </w:rPr>
                        <w:t>基层检查</w:t>
                      </w:r>
                    </w:p>
                  </w:txbxContent>
                </v:textbox>
              </v:rect>
            </w:pict>
          </mc:Fallback>
        </mc:AlternateContent>
      </w:r>
    </w:p>
    <w:p>
      <w:pPr>
        <w:rPr>
          <w:rFonts w:ascii="Times New Roman" w:hAnsi="Times New Roman"/>
          <w:color w:val="auto"/>
          <w:sz w:val="24"/>
          <w:szCs w:val="24"/>
          <w:highlight w:val="none"/>
        </w:rPr>
      </w:pPr>
      <w:r>
        <w:rPr>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1643380</wp:posOffset>
                </wp:positionH>
                <wp:positionV relativeFrom="paragraph">
                  <wp:posOffset>182880</wp:posOffset>
                </wp:positionV>
                <wp:extent cx="1190625" cy="302260"/>
                <wp:effectExtent l="0" t="0" r="0" b="0"/>
                <wp:wrapNone/>
                <wp:docPr id="21" name="矩形 21"/>
                <wp:cNvGraphicFramePr/>
                <a:graphic xmlns:a="http://schemas.openxmlformats.org/drawingml/2006/main">
                  <a:graphicData uri="http://schemas.microsoft.com/office/word/2010/wordprocessingShape">
                    <wps:wsp>
                      <wps:cNvSpPr/>
                      <wps:spPr>
                        <a:xfrm>
                          <a:off x="0" y="0"/>
                          <a:ext cx="1190625" cy="3022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宋体" w:cs="宋体"/>
                                <w:sz w:val="24"/>
                                <w:szCs w:val="24"/>
                              </w:rPr>
                            </w:pPr>
                            <w:r>
                              <w:rPr>
                                <w:rFonts w:hint="eastAsia" w:ascii="宋体" w:hAnsi="宋体" w:cs="宋体"/>
                                <w:sz w:val="24"/>
                                <w:szCs w:val="24"/>
                              </w:rPr>
                              <w:t>基层处理</w:t>
                            </w:r>
                          </w:p>
                        </w:txbxContent>
                      </wps:txbx>
                      <wps:bodyPr upright="1"/>
                    </wps:wsp>
                  </a:graphicData>
                </a:graphic>
              </wp:anchor>
            </w:drawing>
          </mc:Choice>
          <mc:Fallback>
            <w:pict>
              <v:rect id="_x0000_s1026" o:spid="_x0000_s1026" o:spt="1" style="position:absolute;left:0pt;margin-left:129.4pt;margin-top:14.4pt;height:23.8pt;width:93.75pt;z-index:251662336;mso-width-relative:page;mso-height-relative:page;" fillcolor="#FFFFFF" filled="t" stroked="t" coordsize="21600,21600" o:gfxdata="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YykRnYAAAACQEAAA8AAAAAAAAAAQAgAAAAIgAA&#10;AGRycy9kb3ducmV2LnhtbFBLAQIUABQAAAAIAIdO4kBG3QDNCAIAADkEAAAOAAAAAAAAAAEAIAAA&#10;ACcBAABkcnMvZTJvRG9jLnhtbFBLBQYAAAAABgAGAFkBAAChBQAAAAA=&#10;">
                <v:fill on="t" focussize="0,0"/>
                <v:stroke color="#000000" joinstyle="miter"/>
                <v:imagedata o:title=""/>
                <o:lock v:ext="edit" aspectratio="f"/>
                <v:textbox>
                  <w:txbxContent>
                    <w:p>
                      <w:pPr>
                        <w:jc w:val="center"/>
                        <w:rPr>
                          <w:rFonts w:ascii="宋体" w:cs="宋体"/>
                          <w:sz w:val="24"/>
                          <w:szCs w:val="24"/>
                        </w:rPr>
                      </w:pPr>
                      <w:r>
                        <w:rPr>
                          <w:rFonts w:hint="eastAsia" w:ascii="宋体" w:hAnsi="宋体" w:cs="宋体"/>
                          <w:sz w:val="24"/>
                          <w:szCs w:val="24"/>
                        </w:rPr>
                        <w:t>基层处理</w:t>
                      </w:r>
                    </w:p>
                  </w:txbxContent>
                </v:textbox>
              </v:rect>
            </w:pict>
          </mc:Fallback>
        </mc:AlternateContent>
      </w:r>
    </w:p>
    <w:p>
      <w:pPr>
        <w:rPr>
          <w:rFonts w:ascii="Times New Roman" w:hAnsi="Times New Roman"/>
          <w:color w:val="auto"/>
          <w:sz w:val="24"/>
          <w:szCs w:val="24"/>
          <w:highlight w:val="none"/>
        </w:rPr>
      </w:pPr>
    </w:p>
    <w:p>
      <w:pPr>
        <w:rPr>
          <w:rFonts w:ascii="Times New Roman" w:hAnsi="Times New Roman"/>
          <w:color w:val="auto"/>
          <w:sz w:val="24"/>
          <w:szCs w:val="24"/>
          <w:highlight w:val="none"/>
        </w:rPr>
      </w:pPr>
      <w:r>
        <w:rPr>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2238375</wp:posOffset>
                </wp:positionH>
                <wp:positionV relativeFrom="paragraph">
                  <wp:posOffset>88900</wp:posOffset>
                </wp:positionV>
                <wp:extent cx="0" cy="210820"/>
                <wp:effectExtent l="0" t="0" r="0" b="0"/>
                <wp:wrapNone/>
                <wp:docPr id="20" name="直接箭头连接符 20"/>
                <wp:cNvGraphicFramePr/>
                <a:graphic xmlns:a="http://schemas.openxmlformats.org/drawingml/2006/main">
                  <a:graphicData uri="http://schemas.microsoft.com/office/word/2010/wordprocessingShape">
                    <wps:wsp>
                      <wps:cNvCnPr/>
                      <wps:spPr>
                        <a:xfrm>
                          <a:off x="0" y="0"/>
                          <a:ext cx="0" cy="21082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76.25pt;margin-top:7pt;height:16.6pt;width:0pt;z-index:251663360;mso-width-relative:page;mso-height-relative:page;" filled="f" stroked="t" coordsize="21600,21600" o:gfxdata="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44uxjYAAAACQEAAA8AAAAAAAAAAQAgAAAAIgAA&#10;AGRycy9kb3ducmV2LnhtbFBLAQIUABQAAAAIAIdO4kCqe8S/CAIAAP8DAAAOAAAAAAAAAAEAIAAA&#10;ACcBAABkcnMvZTJvRG9jLnhtbFBLBQYAAAAABgAGAFkBAAChBQAAAAA=&#10;">
                <v:fill on="f" focussize="0,0"/>
                <v:stroke color="#000000" joinstyle="round" endarrow="block"/>
                <v:imagedata o:title=""/>
                <o:lock v:ext="edit" aspectratio="f"/>
              </v:shape>
            </w:pict>
          </mc:Fallback>
        </mc:AlternateContent>
      </w:r>
    </w:p>
    <w:p>
      <w:pPr>
        <w:rPr>
          <w:rFonts w:ascii="Times New Roman" w:hAnsi="Times New Roman"/>
          <w:color w:val="auto"/>
          <w:sz w:val="24"/>
          <w:szCs w:val="24"/>
          <w:highlight w:val="none"/>
        </w:rPr>
      </w:pPr>
      <w:r>
        <w:rPr>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1642745</wp:posOffset>
                </wp:positionH>
                <wp:positionV relativeFrom="paragraph">
                  <wp:posOffset>128270</wp:posOffset>
                </wp:positionV>
                <wp:extent cx="1191895" cy="297815"/>
                <wp:effectExtent l="0" t="0" r="0" b="0"/>
                <wp:wrapNone/>
                <wp:docPr id="17" name="矩形 17"/>
                <wp:cNvGraphicFramePr/>
                <a:graphic xmlns:a="http://schemas.openxmlformats.org/drawingml/2006/main">
                  <a:graphicData uri="http://schemas.microsoft.com/office/word/2010/wordprocessingShape">
                    <wps:wsp>
                      <wps:cNvSpPr/>
                      <wps:spPr>
                        <a:xfrm>
                          <a:off x="0" y="0"/>
                          <a:ext cx="1191895" cy="2978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ascii="宋体" w:hAnsi="宋体" w:cs="宋体"/>
                                <w:sz w:val="24"/>
                                <w:szCs w:val="24"/>
                              </w:rPr>
                              <w:t>弹线定位、切板</w:t>
                            </w:r>
                          </w:p>
                        </w:txbxContent>
                      </wps:txbx>
                      <wps:bodyPr upright="1"/>
                    </wps:wsp>
                  </a:graphicData>
                </a:graphic>
              </wp:anchor>
            </w:drawing>
          </mc:Choice>
          <mc:Fallback>
            <w:pict>
              <v:rect id="_x0000_s1026" o:spid="_x0000_s1026" o:spt="1" style="position:absolute;left:0pt;margin-left:129.35pt;margin-top:10.1pt;height:23.45pt;width:93.85pt;z-index:251664384;mso-width-relative:page;mso-height-relative:page;" fillcolor="#FFFFFF" filled="t" stroked="t" coordsize="21600,21600" o:gfxdata="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&#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aeDQ7YAAAACQEAAA8AAAAAAAAAAQAgAAAAIgAAAGRy&#10;cy9kb3ducmV2LnhtbFBLAQIUABQAAAAIAIdO4kAoti6VBQIAADkEAAAOAAAAAAAAAAEAIAAAACcB&#10;AABkcnMvZTJvRG9jLnhtbFBLBQYAAAAABgAGAFkBAACeBQAAAAA=&#10;">
                <v:fill on="t" focussize="0,0"/>
                <v:stroke color="#000000" joinstyle="miter"/>
                <v:imagedata o:title=""/>
                <o:lock v:ext="edit" aspectratio="f"/>
                <v:textbox>
                  <w:txbxContent>
                    <w:p>
                      <w:pPr>
                        <w:jc w:val="center"/>
                      </w:pPr>
                      <w:r>
                        <w:rPr>
                          <w:rFonts w:hint="eastAsia" w:ascii="宋体" w:hAnsi="宋体" w:cs="宋体"/>
                          <w:sz w:val="24"/>
                          <w:szCs w:val="24"/>
                        </w:rPr>
                        <w:t>弹线定位、切板</w:t>
                      </w:r>
                    </w:p>
                  </w:txbxContent>
                </v:textbox>
              </v:rect>
            </w:pict>
          </mc:Fallback>
        </mc:AlternateContent>
      </w:r>
    </w:p>
    <w:p>
      <w:pPr>
        <w:rPr>
          <w:rFonts w:ascii="Times New Roman" w:hAnsi="Times New Roman"/>
          <w:color w:val="auto"/>
          <w:sz w:val="24"/>
          <w:szCs w:val="24"/>
          <w:highlight w:val="none"/>
        </w:rPr>
      </w:pPr>
    </w:p>
    <w:p>
      <w:pPr>
        <w:rPr>
          <w:rFonts w:ascii="Times New Roman" w:hAnsi="Times New Roman"/>
          <w:color w:val="auto"/>
          <w:sz w:val="24"/>
          <w:szCs w:val="24"/>
          <w:highlight w:val="none"/>
        </w:rPr>
      </w:pPr>
      <w:r>
        <w:rPr>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2238375</wp:posOffset>
                </wp:positionH>
                <wp:positionV relativeFrom="paragraph">
                  <wp:posOffset>60325</wp:posOffset>
                </wp:positionV>
                <wp:extent cx="0" cy="186690"/>
                <wp:effectExtent l="0" t="0" r="0" b="0"/>
                <wp:wrapNone/>
                <wp:docPr id="27" name="直接箭头连接符 27"/>
                <wp:cNvGraphicFramePr/>
                <a:graphic xmlns:a="http://schemas.openxmlformats.org/drawingml/2006/main">
                  <a:graphicData uri="http://schemas.microsoft.com/office/word/2010/wordprocessingShape">
                    <wps:wsp>
                      <wps:cNvCnPr/>
                      <wps:spPr>
                        <a:xfrm>
                          <a:off x="0" y="0"/>
                          <a:ext cx="0" cy="18669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76.25pt;margin-top:4.75pt;height:14.7pt;width:0pt;z-index:251665408;mso-width-relative:page;mso-height-relative:page;" filled="f" stroked="t" coordsize="21600,21600" o:gfxdata="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P2wiS1wAAAAgBAAAPAAAAAAAAAAEAIAAAACIA&#10;AABkcnMvZG93bnJldi54bWxQSwECFAAUAAAACACHTuJAsrLaOQoCAAD/AwAADgAAAAAAAAABACAA&#10;AAAmAQAAZHJzL2Uyb0RvYy54bWxQSwUGAAAAAAYABgBZAQAAogUAAAAA&#10;">
                <v:fill on="f" focussize="0,0"/>
                <v:stroke color="#000000" joinstyle="round" endarrow="block"/>
                <v:imagedata o:title=""/>
                <o:lock v:ext="edit" aspectratio="f"/>
              </v:shape>
            </w:pict>
          </mc:Fallback>
        </mc:AlternateContent>
      </w:r>
    </w:p>
    <w:p>
      <w:pPr>
        <w:rPr>
          <w:rFonts w:ascii="Times New Roman" w:hAnsi="Times New Roman"/>
          <w:color w:val="auto"/>
          <w:sz w:val="24"/>
          <w:szCs w:val="24"/>
          <w:highlight w:val="none"/>
        </w:rPr>
      </w:pPr>
      <w:r>
        <w:rPr>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1487170</wp:posOffset>
                </wp:positionH>
                <wp:positionV relativeFrom="paragraph">
                  <wp:posOffset>50165</wp:posOffset>
                </wp:positionV>
                <wp:extent cx="1503045" cy="295275"/>
                <wp:effectExtent l="0" t="0" r="0" b="0"/>
                <wp:wrapNone/>
                <wp:docPr id="16" name="矩形 16"/>
                <wp:cNvGraphicFramePr/>
                <a:graphic xmlns:a="http://schemas.openxmlformats.org/drawingml/2006/main">
                  <a:graphicData uri="http://schemas.microsoft.com/office/word/2010/wordprocessingShape">
                    <wps:wsp>
                      <wps:cNvSpPr/>
                      <wps:spPr>
                        <a:xfrm>
                          <a:off x="0" y="0"/>
                          <a:ext cx="1503045" cy="2952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宋体" w:cs="宋体"/>
                                <w:sz w:val="24"/>
                                <w:szCs w:val="24"/>
                              </w:rPr>
                            </w:pPr>
                            <w:r>
                              <w:rPr>
                                <w:rFonts w:hint="eastAsia" w:ascii="宋体" w:hAnsi="宋体" w:cs="宋体"/>
                                <w:sz w:val="24"/>
                                <w:szCs w:val="24"/>
                              </w:rPr>
                              <w:t>配制、刮抹胶粘剂</w:t>
                            </w:r>
                          </w:p>
                        </w:txbxContent>
                      </wps:txbx>
                      <wps:bodyPr upright="1"/>
                    </wps:wsp>
                  </a:graphicData>
                </a:graphic>
              </wp:anchor>
            </w:drawing>
          </mc:Choice>
          <mc:Fallback>
            <w:pict>
              <v:rect id="_x0000_s1026" o:spid="_x0000_s1026" o:spt="1" style="position:absolute;left:0pt;margin-left:117.1pt;margin-top:3.95pt;height:23.25pt;width:118.35pt;z-index:251666432;mso-width-relative:page;mso-height-relative:page;" fillcolor="#FFFFFF" filled="t" stroked="t" coordsize="21600,21600" o:gfxdata="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ftsAH1wAAAAgBAAAPAAAAAAAAAAEAIAAAACIAAABkcnMv&#10;ZG93bnJldi54bWxQSwECFAAUAAAACACHTuJAL91YlwQCAAA5BAAADgAAAAAAAAABACAAAAAmAQAA&#10;ZHJzL2Uyb0RvYy54bWxQSwUGAAAAAAYABgBZAQAAnAUAAAAA&#10;">
                <v:fill on="t" focussize="0,0"/>
                <v:stroke color="#000000" joinstyle="miter"/>
                <v:imagedata o:title=""/>
                <o:lock v:ext="edit" aspectratio="f"/>
                <v:textbox>
                  <w:txbxContent>
                    <w:p>
                      <w:pPr>
                        <w:jc w:val="center"/>
                        <w:rPr>
                          <w:rFonts w:ascii="宋体" w:cs="宋体"/>
                          <w:sz w:val="24"/>
                          <w:szCs w:val="24"/>
                        </w:rPr>
                      </w:pPr>
                      <w:r>
                        <w:rPr>
                          <w:rFonts w:hint="eastAsia" w:ascii="宋体" w:hAnsi="宋体" w:cs="宋体"/>
                          <w:sz w:val="24"/>
                          <w:szCs w:val="24"/>
                        </w:rPr>
                        <w:t>配制、刮抹胶粘剂</w:t>
                      </w:r>
                    </w:p>
                  </w:txbxContent>
                </v:textbox>
              </v:rect>
            </w:pict>
          </mc:Fallback>
        </mc:AlternateContent>
      </w:r>
    </w:p>
    <w:p>
      <w:pPr>
        <w:rPr>
          <w:rFonts w:ascii="Times New Roman" w:hAnsi="Times New Roman"/>
          <w:color w:val="auto"/>
          <w:sz w:val="24"/>
          <w:szCs w:val="24"/>
          <w:highlight w:val="none"/>
        </w:rPr>
      </w:pPr>
      <w:r>
        <w:rPr>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2238375</wp:posOffset>
                </wp:positionH>
                <wp:positionV relativeFrom="paragraph">
                  <wp:posOffset>140335</wp:posOffset>
                </wp:positionV>
                <wp:extent cx="0" cy="236855"/>
                <wp:effectExtent l="0" t="0" r="0" b="0"/>
                <wp:wrapNone/>
                <wp:docPr id="30" name="直接箭头连接符 30"/>
                <wp:cNvGraphicFramePr/>
                <a:graphic xmlns:a="http://schemas.openxmlformats.org/drawingml/2006/main">
                  <a:graphicData uri="http://schemas.microsoft.com/office/word/2010/wordprocessingShape">
                    <wps:wsp>
                      <wps:cNvCnPr/>
                      <wps:spPr>
                        <a:xfrm>
                          <a:off x="0" y="0"/>
                          <a:ext cx="0" cy="23685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76.25pt;margin-top:11.05pt;height:18.65pt;width:0pt;z-index:251667456;mso-width-relative:page;mso-height-relative:page;" filled="f" stroked="t" coordsize="21600,21600" o:gfxdata="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lEfb9gAAAAJAQAADwAAAAAAAAABACAAAAAiAAAA&#10;ZHJzL2Rvd25yZXYueG1sUEsBAhQAFAAAAAgAh07iQFbRF0sHAgAA/wMAAA4AAAAAAAAAAQAgAAAA&#10;JwEAAGRycy9lMm9Eb2MueG1sUEsFBgAAAAAGAAYAWQEAAKAFAAAAAA==&#10;">
                <v:fill on="f" focussize="0,0"/>
                <v:stroke color="#000000" joinstyle="round" endarrow="block"/>
                <v:imagedata o:title=""/>
                <o:lock v:ext="edit" aspectratio="f"/>
              </v:shape>
            </w:pict>
          </mc:Fallback>
        </mc:AlternateContent>
      </w:r>
    </w:p>
    <w:p>
      <w:pPr>
        <w:rPr>
          <w:rFonts w:ascii="Times New Roman" w:hAnsi="Times New Roman"/>
          <w:color w:val="auto"/>
          <w:sz w:val="24"/>
          <w:szCs w:val="24"/>
          <w:highlight w:val="none"/>
        </w:rPr>
      </w:pPr>
      <w:r>
        <w:rPr>
          <w:color w:val="auto"/>
          <w:highlight w:val="none"/>
        </w:rPr>
        <mc:AlternateContent>
          <mc:Choice Requires="wps">
            <w:drawing>
              <wp:anchor distT="0" distB="0" distL="114300" distR="114300" simplePos="0" relativeHeight="251668480" behindDoc="0" locked="0" layoutInCell="1" allowOverlap="1">
                <wp:simplePos x="0" y="0"/>
                <wp:positionH relativeFrom="column">
                  <wp:posOffset>1487170</wp:posOffset>
                </wp:positionH>
                <wp:positionV relativeFrom="paragraph">
                  <wp:posOffset>186055</wp:posOffset>
                </wp:positionV>
                <wp:extent cx="1503045" cy="266700"/>
                <wp:effectExtent l="0" t="0" r="0" b="0"/>
                <wp:wrapNone/>
                <wp:docPr id="22" name="矩形 22"/>
                <wp:cNvGraphicFramePr/>
                <a:graphic xmlns:a="http://schemas.openxmlformats.org/drawingml/2006/main">
                  <a:graphicData uri="http://schemas.microsoft.com/office/word/2010/wordprocessingShape">
                    <wps:wsp>
                      <wps:cNvSpPr/>
                      <wps:spPr>
                        <a:xfrm>
                          <a:off x="0" y="0"/>
                          <a:ext cx="1503045" cy="2667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宋体" w:cs="宋体"/>
                                <w:sz w:val="24"/>
                                <w:szCs w:val="24"/>
                              </w:rPr>
                            </w:pPr>
                            <w:r>
                              <w:rPr>
                                <w:rFonts w:hint="eastAsia" w:ascii="宋体" w:hAnsi="宋体" w:cs="宋体"/>
                                <w:sz w:val="24"/>
                                <w:szCs w:val="24"/>
                              </w:rPr>
                              <w:t>安装保温复合板</w:t>
                            </w:r>
                          </w:p>
                        </w:txbxContent>
                      </wps:txbx>
                      <wps:bodyPr upright="1"/>
                    </wps:wsp>
                  </a:graphicData>
                </a:graphic>
              </wp:anchor>
            </w:drawing>
          </mc:Choice>
          <mc:Fallback>
            <w:pict>
              <v:rect id="_x0000_s1026" o:spid="_x0000_s1026" o:spt="1" style="position:absolute;left:0pt;margin-left:117.1pt;margin-top:14.65pt;height:21pt;width:118.35pt;z-index:251668480;mso-width-relative:page;mso-height-relative:page;" fillcolor="#FFFFFF" filled="t" stroked="t" coordsize="21600,21600" o:gfxdata="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FX/GPYAAAACQEAAA8AAAAAAAAAAQAgAAAAIgAA&#10;AGRycy9kb3ducmV2LnhtbFBLAQIUABQAAAAIAIdO4kASAr99CAIAADkEAAAOAAAAAAAAAAEAIAAA&#10;ACcBAABkcnMvZTJvRG9jLnhtbFBLBQYAAAAABgAGAFkBAAChBQAAAAA=&#10;">
                <v:fill on="t" focussize="0,0"/>
                <v:stroke color="#000000" joinstyle="miter"/>
                <v:imagedata o:title=""/>
                <o:lock v:ext="edit" aspectratio="f"/>
                <v:textbox>
                  <w:txbxContent>
                    <w:p>
                      <w:pPr>
                        <w:jc w:val="center"/>
                        <w:rPr>
                          <w:rFonts w:ascii="宋体" w:cs="宋体"/>
                          <w:sz w:val="24"/>
                          <w:szCs w:val="24"/>
                        </w:rPr>
                      </w:pPr>
                      <w:r>
                        <w:rPr>
                          <w:rFonts w:hint="eastAsia" w:ascii="宋体" w:hAnsi="宋体" w:cs="宋体"/>
                          <w:sz w:val="24"/>
                          <w:szCs w:val="24"/>
                        </w:rPr>
                        <w:t>安装保温复合板</w:t>
                      </w:r>
                    </w:p>
                  </w:txbxContent>
                </v:textbox>
              </v:rect>
            </w:pict>
          </mc:Fallback>
        </mc:AlternateContent>
      </w:r>
      <w:r>
        <w:rPr>
          <w:color w:val="auto"/>
          <w:highlight w:val="none"/>
        </w:rPr>
        <mc:AlternateContent>
          <mc:Choice Requires="wps">
            <w:drawing>
              <wp:anchor distT="0" distB="0" distL="114300" distR="114300" simplePos="0" relativeHeight="251675648" behindDoc="0" locked="0" layoutInCell="1" allowOverlap="1">
                <wp:simplePos x="0" y="0"/>
                <wp:positionH relativeFrom="column">
                  <wp:posOffset>3571875</wp:posOffset>
                </wp:positionH>
                <wp:positionV relativeFrom="paragraph">
                  <wp:posOffset>179070</wp:posOffset>
                </wp:positionV>
                <wp:extent cx="1171575" cy="266700"/>
                <wp:effectExtent l="0" t="0" r="0" b="0"/>
                <wp:wrapNone/>
                <wp:docPr id="23" name="矩形 23"/>
                <wp:cNvGraphicFramePr/>
                <a:graphic xmlns:a="http://schemas.openxmlformats.org/drawingml/2006/main">
                  <a:graphicData uri="http://schemas.microsoft.com/office/word/2010/wordprocessingShape">
                    <wps:wsp>
                      <wps:cNvSpPr/>
                      <wps:spPr>
                        <a:xfrm>
                          <a:off x="0" y="0"/>
                          <a:ext cx="1171575" cy="2667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宋体" w:cs="宋体"/>
                                <w:sz w:val="24"/>
                                <w:szCs w:val="24"/>
                              </w:rPr>
                            </w:pPr>
                            <w:r>
                              <w:rPr>
                                <w:rFonts w:hint="eastAsia" w:ascii="宋体" w:hAnsi="宋体" w:cs="宋体"/>
                                <w:sz w:val="24"/>
                                <w:szCs w:val="24"/>
                              </w:rPr>
                              <w:t>锚固安装</w:t>
                            </w:r>
                          </w:p>
                        </w:txbxContent>
                      </wps:txbx>
                      <wps:bodyPr upright="1"/>
                    </wps:wsp>
                  </a:graphicData>
                </a:graphic>
              </wp:anchor>
            </w:drawing>
          </mc:Choice>
          <mc:Fallback>
            <w:pict>
              <v:rect id="_x0000_s1026" o:spid="_x0000_s1026" o:spt="1" style="position:absolute;left:0pt;margin-left:281.25pt;margin-top:14.1pt;height:21pt;width:92.25pt;z-index:251675648;mso-width-relative:page;mso-height-relative:page;" fillcolor="#FFFFFF" filled="t" stroked="t" coordsize="21600,21600" o:gfxdata="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nOmbrYAAAACQEAAA8AAAAAAAAAAQAgAAAAIgAA&#10;AGRycy9kb3ducmV2LnhtbFBLAQIUABQAAAAIAIdO4kDy7QwICAIAADkEAAAOAAAAAAAAAAEAIAAA&#10;ACcBAABkcnMvZTJvRG9jLnhtbFBLBQYAAAAABgAGAFkBAAChBQAAAAA=&#10;">
                <v:fill on="t" focussize="0,0"/>
                <v:stroke color="#000000" joinstyle="miter"/>
                <v:imagedata o:title=""/>
                <o:lock v:ext="edit" aspectratio="f"/>
                <v:textbox>
                  <w:txbxContent>
                    <w:p>
                      <w:pPr>
                        <w:jc w:val="center"/>
                        <w:rPr>
                          <w:rFonts w:ascii="宋体" w:cs="宋体"/>
                          <w:sz w:val="24"/>
                          <w:szCs w:val="24"/>
                        </w:rPr>
                      </w:pPr>
                      <w:r>
                        <w:rPr>
                          <w:rFonts w:hint="eastAsia" w:ascii="宋体" w:hAnsi="宋体" w:cs="宋体"/>
                          <w:sz w:val="24"/>
                          <w:szCs w:val="24"/>
                        </w:rPr>
                        <w:t>锚固安装</w:t>
                      </w:r>
                    </w:p>
                  </w:txbxContent>
                </v:textbox>
              </v:rect>
            </w:pict>
          </mc:Fallback>
        </mc:AlternateContent>
      </w:r>
    </w:p>
    <w:p>
      <w:pPr>
        <w:rPr>
          <w:rFonts w:ascii="Times New Roman" w:hAnsi="Times New Roman"/>
          <w:color w:val="auto"/>
          <w:sz w:val="24"/>
          <w:szCs w:val="24"/>
          <w:highlight w:val="none"/>
        </w:rPr>
      </w:pPr>
      <w:r>
        <w:rPr>
          <w:color w:val="auto"/>
          <w:highlight w:val="none"/>
        </w:rPr>
        <mc:AlternateContent>
          <mc:Choice Requires="wps">
            <w:drawing>
              <wp:anchor distT="0" distB="0" distL="114300" distR="114300" simplePos="0" relativeHeight="251674624" behindDoc="0" locked="0" layoutInCell="1" allowOverlap="1">
                <wp:simplePos x="0" y="0"/>
                <wp:positionH relativeFrom="column">
                  <wp:posOffset>3045460</wp:posOffset>
                </wp:positionH>
                <wp:positionV relativeFrom="paragraph">
                  <wp:posOffset>111760</wp:posOffset>
                </wp:positionV>
                <wp:extent cx="457200" cy="0"/>
                <wp:effectExtent l="0" t="0" r="0" b="0"/>
                <wp:wrapNone/>
                <wp:docPr id="24" name="直接箭头连接符 24"/>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39.8pt;margin-top:8.8pt;height:0pt;width:36pt;z-index:251674624;mso-width-relative:page;mso-height-relative:page;" filled="f" stroked="t" coordsize="21600,21600" o:gfxdata="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TdDXtcAAAAJAQAADwAAAAAAAAAB&#10;ACAAAAAiAAAAZHJzL2Rvd25yZXYueG1sUEsBAhQAFAAAAAgAh07iQLNqYEMRAgAACQQAAA4AAAAA&#10;AAAAAQAgAAAAJgEAAGRycy9lMm9Eb2MueG1sUEsFBgAAAAAGAAYAWQEAAKkFAAAAAA==&#10;">
                <v:fill on="f" focussize="0,0"/>
                <v:stroke color="#000000" joinstyle="round" endarrow="block"/>
                <v:imagedata o:title=""/>
                <o:lock v:ext="edit" aspectratio="f"/>
              </v:shape>
            </w:pict>
          </mc:Fallback>
        </mc:AlternateContent>
      </w:r>
    </w:p>
    <w:p>
      <w:pPr>
        <w:rPr>
          <w:rFonts w:ascii="Times New Roman" w:hAnsi="Times New Roman"/>
          <w:color w:val="auto"/>
          <w:sz w:val="24"/>
          <w:szCs w:val="24"/>
          <w:highlight w:val="none"/>
        </w:rPr>
      </w:pPr>
      <w:r>
        <w:rPr>
          <w:color w:val="auto"/>
          <w:highlight w:val="none"/>
        </w:rPr>
        <mc:AlternateContent>
          <mc:Choice Requires="wps">
            <w:drawing>
              <wp:anchor distT="0" distB="0" distL="114300" distR="114300" simplePos="0" relativeHeight="251670528" behindDoc="0" locked="0" layoutInCell="1" allowOverlap="1">
                <wp:simplePos x="0" y="0"/>
                <wp:positionH relativeFrom="column">
                  <wp:posOffset>2238375</wp:posOffset>
                </wp:positionH>
                <wp:positionV relativeFrom="paragraph">
                  <wp:posOffset>32385</wp:posOffset>
                </wp:positionV>
                <wp:extent cx="0" cy="216535"/>
                <wp:effectExtent l="0" t="0" r="0" b="0"/>
                <wp:wrapNone/>
                <wp:docPr id="9" name="直接箭头连接符 9"/>
                <wp:cNvGraphicFramePr/>
                <a:graphic xmlns:a="http://schemas.openxmlformats.org/drawingml/2006/main">
                  <a:graphicData uri="http://schemas.microsoft.com/office/word/2010/wordprocessingShape">
                    <wps:wsp>
                      <wps:cNvCnPr/>
                      <wps:spPr>
                        <a:xfrm>
                          <a:off x="0" y="0"/>
                          <a:ext cx="0" cy="2165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76.25pt;margin-top:2.55pt;height:17.05pt;width:0pt;z-index:251670528;mso-width-relative:page;mso-height-relative:page;" filled="f" stroked="t" coordsize="21600,21600" o:gfxdata="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PYPdfXAAAACAEAAA8AAAAAAAAAAQAgAAAAIgAAAGRy&#10;cy9kb3ducmV2LnhtbFBLAQIUABQAAAAIAIdO4kCWzGLBBgIAAP0DAAAOAAAAAAAAAAEAIAAAACYB&#10;AABkcnMvZTJvRG9jLnhtbFBLBQYAAAAABgAGAFkBAACeBQAAAAA=&#10;">
                <v:fill on="f" focussize="0,0"/>
                <v:stroke color="#000000" joinstyle="round" endarrow="block"/>
                <v:imagedata o:title=""/>
                <o:lock v:ext="edit" aspectratio="f"/>
              </v:shape>
            </w:pict>
          </mc:Fallback>
        </mc:AlternateContent>
      </w:r>
    </w:p>
    <w:p>
      <w:pPr>
        <w:rPr>
          <w:rFonts w:ascii="Times New Roman" w:hAnsi="Times New Roman"/>
          <w:color w:val="auto"/>
          <w:sz w:val="24"/>
          <w:szCs w:val="24"/>
          <w:highlight w:val="none"/>
        </w:rPr>
      </w:pPr>
      <w:r>
        <w:rPr>
          <w:color w:val="auto"/>
          <w:highlight w:val="none"/>
        </w:rPr>
        <mc:AlternateContent>
          <mc:Choice Requires="wps">
            <w:drawing>
              <wp:anchor distT="0" distB="0" distL="114300" distR="114300" simplePos="0" relativeHeight="251669504" behindDoc="0" locked="0" layoutInCell="1" allowOverlap="1">
                <wp:simplePos x="0" y="0"/>
                <wp:positionH relativeFrom="column">
                  <wp:posOffset>1685290</wp:posOffset>
                </wp:positionH>
                <wp:positionV relativeFrom="paragraph">
                  <wp:posOffset>50800</wp:posOffset>
                </wp:positionV>
                <wp:extent cx="1106170" cy="266700"/>
                <wp:effectExtent l="0" t="0" r="0" b="0"/>
                <wp:wrapNone/>
                <wp:docPr id="10" name="矩形 10"/>
                <wp:cNvGraphicFramePr/>
                <a:graphic xmlns:a="http://schemas.openxmlformats.org/drawingml/2006/main">
                  <a:graphicData uri="http://schemas.microsoft.com/office/word/2010/wordprocessingShape">
                    <wps:wsp>
                      <wps:cNvSpPr/>
                      <wps:spPr>
                        <a:xfrm>
                          <a:off x="0" y="0"/>
                          <a:ext cx="1106170" cy="2667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24"/>
                                <w:szCs w:val="24"/>
                              </w:rPr>
                            </w:pPr>
                            <w:r>
                              <w:rPr>
                                <w:rFonts w:hint="eastAsia"/>
                                <w:sz w:val="24"/>
                                <w:szCs w:val="24"/>
                              </w:rPr>
                              <w:t>接缝处理</w:t>
                            </w:r>
                          </w:p>
                        </w:txbxContent>
                      </wps:txbx>
                      <wps:bodyPr upright="1"/>
                    </wps:wsp>
                  </a:graphicData>
                </a:graphic>
              </wp:anchor>
            </w:drawing>
          </mc:Choice>
          <mc:Fallback>
            <w:pict>
              <v:rect id="_x0000_s1026" o:spid="_x0000_s1026" o:spt="1" style="position:absolute;left:0pt;margin-left:132.7pt;margin-top:4pt;height:21pt;width:87.1pt;z-index:251669504;mso-width-relative:page;mso-height-relative:page;" fillcolor="#FFFFFF" filled="t" stroked="t" coordsize="21600,21600" o:gfxdata="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J1OxdcAAAAIAQAADwAAAAAAAAABACAAAAAiAAAA&#10;ZHJzL2Rvd25yZXYueG1sUEsBAhQAFAAAAAgAh07iQJz+ZLYIAgAAOQQAAA4AAAAAAAAAAQAgAAAA&#10;JgEAAGRycy9lMm9Eb2MueG1sUEsFBgAAAAAGAAYAWQEAAKAFAAAAAA==&#10;">
                <v:fill on="t" focussize="0,0"/>
                <v:stroke color="#000000" joinstyle="miter"/>
                <v:imagedata o:title=""/>
                <o:lock v:ext="edit" aspectratio="f"/>
                <v:textbox>
                  <w:txbxContent>
                    <w:p>
                      <w:pPr>
                        <w:jc w:val="center"/>
                        <w:rPr>
                          <w:sz w:val="24"/>
                          <w:szCs w:val="24"/>
                        </w:rPr>
                      </w:pPr>
                      <w:r>
                        <w:rPr>
                          <w:rFonts w:hint="eastAsia"/>
                          <w:sz w:val="24"/>
                          <w:szCs w:val="24"/>
                        </w:rPr>
                        <w:t>接缝处理</w:t>
                      </w:r>
                    </w:p>
                  </w:txbxContent>
                </v:textbox>
              </v:rect>
            </w:pict>
          </mc:Fallback>
        </mc:AlternateContent>
      </w:r>
    </w:p>
    <w:p>
      <w:pPr>
        <w:rPr>
          <w:rFonts w:ascii="Times New Roman" w:hAnsi="Times New Roman"/>
          <w:color w:val="auto"/>
          <w:sz w:val="24"/>
          <w:szCs w:val="24"/>
          <w:highlight w:val="none"/>
        </w:rPr>
      </w:pPr>
      <w:r>
        <w:rPr>
          <w:color w:val="auto"/>
          <w:highlight w:val="none"/>
        </w:rPr>
        <mc:AlternateContent>
          <mc:Choice Requires="wps">
            <w:drawing>
              <wp:anchor distT="0" distB="0" distL="114300" distR="114300" simplePos="0" relativeHeight="251673600" behindDoc="0" locked="0" layoutInCell="1" allowOverlap="1">
                <wp:simplePos x="0" y="0"/>
                <wp:positionH relativeFrom="column">
                  <wp:posOffset>2238375</wp:posOffset>
                </wp:positionH>
                <wp:positionV relativeFrom="paragraph">
                  <wp:posOffset>92710</wp:posOffset>
                </wp:positionV>
                <wp:extent cx="0" cy="277495"/>
                <wp:effectExtent l="0" t="0" r="0" b="0"/>
                <wp:wrapNone/>
                <wp:docPr id="19" name="直接箭头连接符 19"/>
                <wp:cNvGraphicFramePr/>
                <a:graphic xmlns:a="http://schemas.openxmlformats.org/drawingml/2006/main">
                  <a:graphicData uri="http://schemas.microsoft.com/office/word/2010/wordprocessingShape">
                    <wps:wsp>
                      <wps:cNvCnPr/>
                      <wps:spPr>
                        <a:xfrm>
                          <a:off x="0" y="0"/>
                          <a:ext cx="0" cy="27749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76.25pt;margin-top:7.3pt;height:21.85pt;width:0pt;z-index:251673600;mso-width-relative:page;mso-height-relative:page;" filled="f" stroked="t" coordsize="21600,21600" o:gfxdata="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W83OXYAAAACQEAAA8AAAAAAAAAAQAgAAAAIgAA&#10;AGRycy9kb3ducmV2LnhtbFBLAQIUABQAAAAIAIdO4kBbva/QCAIAAP8DAAAOAAAAAAAAAAEAIAAA&#10;ACcBAABkcnMvZTJvRG9jLnhtbFBLBQYAAAAABgAGAFkBAAChBQAAAAA=&#10;">
                <v:fill on="f" focussize="0,0"/>
                <v:stroke color="#000000" joinstyle="round" endarrow="block"/>
                <v:imagedata o:title=""/>
                <o:lock v:ext="edit" aspectratio="f"/>
              </v:shape>
            </w:pict>
          </mc:Fallback>
        </mc:AlternateContent>
      </w:r>
    </w:p>
    <w:p>
      <w:pPr>
        <w:rPr>
          <w:rFonts w:ascii="Times New Roman" w:hAnsi="Times New Roman"/>
          <w:color w:val="auto"/>
          <w:sz w:val="24"/>
          <w:szCs w:val="24"/>
          <w:highlight w:val="none"/>
        </w:rPr>
      </w:pPr>
      <w:r>
        <w:rPr>
          <w:color w:val="auto"/>
          <w:highlight w:val="none"/>
        </w:rPr>
        <mc:AlternateContent>
          <mc:Choice Requires="wps">
            <w:drawing>
              <wp:anchor distT="0" distB="0" distL="114300" distR="114300" simplePos="0" relativeHeight="251676672" behindDoc="0" locked="0" layoutInCell="1" allowOverlap="1">
                <wp:simplePos x="0" y="0"/>
                <wp:positionH relativeFrom="column">
                  <wp:posOffset>1652905</wp:posOffset>
                </wp:positionH>
                <wp:positionV relativeFrom="paragraph">
                  <wp:posOffset>178435</wp:posOffset>
                </wp:positionV>
                <wp:extent cx="1171575" cy="285750"/>
                <wp:effectExtent l="0" t="0" r="0" b="0"/>
                <wp:wrapNone/>
                <wp:docPr id="25" name="矩形 25"/>
                <wp:cNvGraphicFramePr/>
                <a:graphic xmlns:a="http://schemas.openxmlformats.org/drawingml/2006/main">
                  <a:graphicData uri="http://schemas.microsoft.com/office/word/2010/wordprocessingShape">
                    <wps:wsp>
                      <wps:cNvSpPr/>
                      <wps:spPr>
                        <a:xfrm>
                          <a:off x="0" y="0"/>
                          <a:ext cx="1171575" cy="2857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宋体" w:cs="宋体"/>
                                <w:sz w:val="24"/>
                                <w:szCs w:val="24"/>
                              </w:rPr>
                            </w:pPr>
                            <w:r>
                              <w:rPr>
                                <w:rFonts w:hint="eastAsia" w:ascii="宋体" w:hAnsi="宋体" w:cs="宋体"/>
                                <w:sz w:val="24"/>
                                <w:szCs w:val="24"/>
                              </w:rPr>
                              <w:t>打磨平整</w:t>
                            </w:r>
                          </w:p>
                        </w:txbxContent>
                      </wps:txbx>
                      <wps:bodyPr upright="1"/>
                    </wps:wsp>
                  </a:graphicData>
                </a:graphic>
              </wp:anchor>
            </w:drawing>
          </mc:Choice>
          <mc:Fallback>
            <w:pict>
              <v:rect id="_x0000_s1026" o:spid="_x0000_s1026" o:spt="1" style="position:absolute;left:0pt;margin-left:130.15pt;margin-top:14.05pt;height:22.5pt;width:92.25pt;z-index:251676672;mso-width-relative:page;mso-height-relative:page;" fillcolor="#FFFFFF" filled="t" stroked="t" coordsize="21600,21600" o:gfxdata="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ue8jz2AAAAAkBAAAPAAAAAAAAAAEAIAAAACIAAABk&#10;cnMvZG93bnJldi54bWxQSwECFAAUAAAACACHTuJA6ywx7wYCAAA5BAAADgAAAAAAAAABACAAAAAn&#10;AQAAZHJzL2Uyb0RvYy54bWxQSwUGAAAAAAYABgBZAQAAnwUAAAAA&#10;">
                <v:fill on="t" focussize="0,0"/>
                <v:stroke color="#000000" joinstyle="miter"/>
                <v:imagedata o:title=""/>
                <o:lock v:ext="edit" aspectratio="f"/>
                <v:textbox>
                  <w:txbxContent>
                    <w:p>
                      <w:pPr>
                        <w:jc w:val="center"/>
                        <w:rPr>
                          <w:rFonts w:ascii="宋体" w:cs="宋体"/>
                          <w:sz w:val="24"/>
                          <w:szCs w:val="24"/>
                        </w:rPr>
                      </w:pPr>
                      <w:r>
                        <w:rPr>
                          <w:rFonts w:hint="eastAsia" w:ascii="宋体" w:hAnsi="宋体" w:cs="宋体"/>
                          <w:sz w:val="24"/>
                          <w:szCs w:val="24"/>
                        </w:rPr>
                        <w:t>打磨平整</w:t>
                      </w:r>
                    </w:p>
                  </w:txbxContent>
                </v:textbox>
              </v:rect>
            </w:pict>
          </mc:Fallback>
        </mc:AlternateContent>
      </w:r>
    </w:p>
    <w:p>
      <w:pPr>
        <w:rPr>
          <w:rFonts w:ascii="Times New Roman" w:hAnsi="Times New Roman"/>
          <w:color w:val="auto"/>
          <w:sz w:val="24"/>
          <w:szCs w:val="24"/>
          <w:highlight w:val="none"/>
        </w:rPr>
      </w:pPr>
    </w:p>
    <w:p>
      <w:pPr>
        <w:rPr>
          <w:rFonts w:ascii="Times New Roman" w:hAnsi="Times New Roman"/>
          <w:color w:val="auto"/>
          <w:sz w:val="24"/>
          <w:szCs w:val="24"/>
          <w:highlight w:val="none"/>
        </w:rPr>
      </w:pPr>
      <w:r>
        <w:rPr>
          <w:color w:val="auto"/>
          <w:highlight w:val="none"/>
        </w:rPr>
        <mc:AlternateContent>
          <mc:Choice Requires="wps">
            <w:drawing>
              <wp:anchor distT="0" distB="0" distL="114300" distR="114300" simplePos="0" relativeHeight="251671552" behindDoc="0" locked="0" layoutInCell="1" allowOverlap="1">
                <wp:simplePos x="0" y="0"/>
                <wp:positionH relativeFrom="column">
                  <wp:posOffset>2238375</wp:posOffset>
                </wp:positionH>
                <wp:positionV relativeFrom="paragraph">
                  <wp:posOffset>48895</wp:posOffset>
                </wp:positionV>
                <wp:extent cx="0" cy="248285"/>
                <wp:effectExtent l="0" t="0" r="0" b="0"/>
                <wp:wrapNone/>
                <wp:docPr id="26" name="直接箭头连接符 26"/>
                <wp:cNvGraphicFramePr/>
                <a:graphic xmlns:a="http://schemas.openxmlformats.org/drawingml/2006/main">
                  <a:graphicData uri="http://schemas.microsoft.com/office/word/2010/wordprocessingShape">
                    <wps:wsp>
                      <wps:cNvCnPr/>
                      <wps:spPr>
                        <a:xfrm>
                          <a:off x="0" y="0"/>
                          <a:ext cx="0" cy="24828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76.25pt;margin-top:3.85pt;height:19.55pt;width:0pt;z-index:251671552;mso-width-relative:page;mso-height-relative:page;" filled="f" stroked="t" coordsize="21600,21600" o:gfxdata="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oBrNgAAAAIAQAADwAAAAAAAAABACAAAAAiAAAA&#10;ZHJzL2Rvd25yZXYueG1sUEsBAhQAFAAAAAgAh07iQHu7yb4HAgAA/wMAAA4AAAAAAAAAAQAgAAAA&#10;JwEAAGRycy9lMm9Eb2MueG1sUEsFBgAAAAAGAAYAWQEAAKAFAAAAAA==&#10;">
                <v:fill on="f" focussize="0,0"/>
                <v:stroke color="#000000" joinstyle="round" endarrow="block"/>
                <v:imagedata o:title=""/>
                <o:lock v:ext="edit" aspectratio="f"/>
              </v:shape>
            </w:pict>
          </mc:Fallback>
        </mc:AlternateContent>
      </w:r>
    </w:p>
    <w:p>
      <w:pPr>
        <w:tabs>
          <w:tab w:val="left" w:pos="5745"/>
        </w:tabs>
        <w:rPr>
          <w:rFonts w:ascii="Times New Roman" w:hAnsi="Times New Roman"/>
          <w:color w:val="auto"/>
          <w:sz w:val="24"/>
          <w:szCs w:val="24"/>
          <w:highlight w:val="none"/>
        </w:rPr>
      </w:pPr>
      <w:r>
        <w:rPr>
          <w:color w:val="auto"/>
          <w:highlight w:val="none"/>
        </w:rPr>
        <mc:AlternateContent>
          <mc:Choice Requires="wps">
            <w:drawing>
              <wp:anchor distT="0" distB="0" distL="114300" distR="114300" simplePos="0" relativeHeight="251672576" behindDoc="0" locked="0" layoutInCell="1" allowOverlap="1">
                <wp:simplePos x="0" y="0"/>
                <wp:positionH relativeFrom="column">
                  <wp:posOffset>1642745</wp:posOffset>
                </wp:positionH>
                <wp:positionV relativeFrom="paragraph">
                  <wp:posOffset>95885</wp:posOffset>
                </wp:positionV>
                <wp:extent cx="1191895" cy="266700"/>
                <wp:effectExtent l="0" t="0" r="0" b="0"/>
                <wp:wrapNone/>
                <wp:docPr id="28" name="矩形 28"/>
                <wp:cNvGraphicFramePr/>
                <a:graphic xmlns:a="http://schemas.openxmlformats.org/drawingml/2006/main">
                  <a:graphicData uri="http://schemas.microsoft.com/office/word/2010/wordprocessingShape">
                    <wps:wsp>
                      <wps:cNvSpPr/>
                      <wps:spPr>
                        <a:xfrm>
                          <a:off x="0" y="0"/>
                          <a:ext cx="1191895" cy="2667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24"/>
                                <w:szCs w:val="24"/>
                              </w:rPr>
                            </w:pPr>
                            <w:r>
                              <w:rPr>
                                <w:rFonts w:hint="eastAsia"/>
                                <w:sz w:val="24"/>
                                <w:szCs w:val="24"/>
                              </w:rPr>
                              <w:t>细部处理</w:t>
                            </w:r>
                          </w:p>
                        </w:txbxContent>
                      </wps:txbx>
                      <wps:bodyPr upright="1"/>
                    </wps:wsp>
                  </a:graphicData>
                </a:graphic>
              </wp:anchor>
            </w:drawing>
          </mc:Choice>
          <mc:Fallback>
            <w:pict>
              <v:rect id="_x0000_s1026" o:spid="_x0000_s1026" o:spt="1" style="position:absolute;left:0pt;margin-left:129.35pt;margin-top:7.55pt;height:21pt;width:93.85pt;z-index:251672576;mso-width-relative:page;mso-height-relative:page;" fillcolor="#FFFFFF" filled="t" stroked="t" coordsize="21600,21600" o:gfxdata="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cJriy2AAAAAkBAAAPAAAAAAAAAAEAIAAAACIA&#10;AABkcnMvZG93bnJldi54bWxQSwECFAAUAAAACACHTuJAsySAJwkCAAA5BAAADgAAAAAAAAABACAA&#10;AAAnAQAAZHJzL2Uyb0RvYy54bWxQSwUGAAAAAAYABgBZAQAAogUAAAAA&#10;">
                <v:fill on="t" focussize="0,0"/>
                <v:stroke color="#000000" joinstyle="miter"/>
                <v:imagedata o:title=""/>
                <o:lock v:ext="edit" aspectratio="f"/>
                <v:textbox>
                  <w:txbxContent>
                    <w:p>
                      <w:pPr>
                        <w:jc w:val="center"/>
                        <w:rPr>
                          <w:sz w:val="24"/>
                          <w:szCs w:val="24"/>
                        </w:rPr>
                      </w:pPr>
                      <w:r>
                        <w:rPr>
                          <w:rFonts w:hint="eastAsia"/>
                          <w:sz w:val="24"/>
                          <w:szCs w:val="24"/>
                        </w:rPr>
                        <w:t>细部处理</w:t>
                      </w:r>
                    </w:p>
                  </w:txbxContent>
                </v:textbox>
              </v:rect>
            </w:pict>
          </mc:Fallback>
        </mc:AlternateContent>
      </w:r>
      <w:r>
        <w:rPr>
          <w:rFonts w:ascii="Times New Roman" w:hAnsi="Times New Roman"/>
          <w:color w:val="auto"/>
          <w:sz w:val="24"/>
          <w:szCs w:val="24"/>
          <w:highlight w:val="none"/>
        </w:rPr>
        <w:tab/>
      </w:r>
    </w:p>
    <w:p>
      <w:pPr>
        <w:tabs>
          <w:tab w:val="left" w:pos="5745"/>
        </w:tabs>
        <w:rPr>
          <w:rFonts w:ascii="Times New Roman" w:hAnsi="Times New Roman"/>
          <w:color w:val="auto"/>
          <w:sz w:val="24"/>
          <w:szCs w:val="24"/>
          <w:highlight w:val="none"/>
        </w:rPr>
      </w:pPr>
      <w:r>
        <w:rPr>
          <w:color w:val="auto"/>
          <w:highlight w:val="none"/>
        </w:rPr>
        <mc:AlternateContent>
          <mc:Choice Requires="wps">
            <w:drawing>
              <wp:anchor distT="0" distB="0" distL="114300" distR="114300" simplePos="0" relativeHeight="251677696" behindDoc="0" locked="0" layoutInCell="1" allowOverlap="1">
                <wp:simplePos x="0" y="0"/>
                <wp:positionH relativeFrom="column">
                  <wp:posOffset>2238375</wp:posOffset>
                </wp:positionH>
                <wp:positionV relativeFrom="paragraph">
                  <wp:posOffset>186055</wp:posOffset>
                </wp:positionV>
                <wp:extent cx="0" cy="264160"/>
                <wp:effectExtent l="0" t="0" r="0" b="0"/>
                <wp:wrapNone/>
                <wp:docPr id="4" name="直接箭头连接符 4"/>
                <wp:cNvGraphicFramePr/>
                <a:graphic xmlns:a="http://schemas.openxmlformats.org/drawingml/2006/main">
                  <a:graphicData uri="http://schemas.microsoft.com/office/word/2010/wordprocessingShape">
                    <wps:wsp>
                      <wps:cNvCnPr/>
                      <wps:spPr>
                        <a:xfrm>
                          <a:off x="0" y="0"/>
                          <a:ext cx="0" cy="26416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176.25pt;margin-top:14.65pt;height:20.8pt;width:0pt;z-index:251677696;mso-width-relative:page;mso-height-relative:page;" filled="f" stroked="t" coordsize="21600,21600" o:gfxdata="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VEBsz2QAAAAkBAAAPAAAAAAAAAAEAIAAAACIA&#10;AABkcnMvZG93bnJldi54bWxQSwECFAAUAAAACACHTuJAId9sawgCAAD9AwAADgAAAAAAAAABACAA&#10;AAAoAQAAZHJzL2Uyb0RvYy54bWxQSwUGAAAAAAYABgBZAQAAogUAAAAA&#10;">
                <v:fill on="f" focussize="0,0"/>
                <v:stroke color="#000000" joinstyle="round" endarrow="block"/>
                <v:imagedata o:title=""/>
                <o:lock v:ext="edit" aspectratio="f"/>
              </v:shape>
            </w:pict>
          </mc:Fallback>
        </mc:AlternateContent>
      </w:r>
    </w:p>
    <w:p>
      <w:pPr>
        <w:tabs>
          <w:tab w:val="left" w:pos="5745"/>
        </w:tabs>
        <w:rPr>
          <w:rFonts w:ascii="Times New Roman" w:hAnsi="Times New Roman"/>
          <w:color w:val="auto"/>
          <w:sz w:val="24"/>
          <w:szCs w:val="24"/>
          <w:highlight w:val="none"/>
        </w:rPr>
      </w:pPr>
    </w:p>
    <w:p>
      <w:pPr>
        <w:tabs>
          <w:tab w:val="left" w:pos="5745"/>
        </w:tabs>
        <w:rPr>
          <w:rFonts w:ascii="Times New Roman" w:hAnsi="Times New Roman"/>
          <w:color w:val="auto"/>
          <w:sz w:val="24"/>
          <w:szCs w:val="24"/>
          <w:highlight w:val="none"/>
        </w:rPr>
      </w:pPr>
      <w:r>
        <w:rPr>
          <w:color w:val="auto"/>
          <w:highlight w:val="none"/>
        </w:rPr>
        <mc:AlternateContent>
          <mc:Choice Requires="wps">
            <w:drawing>
              <wp:anchor distT="0" distB="0" distL="114300" distR="114300" simplePos="0" relativeHeight="251678720" behindDoc="0" locked="0" layoutInCell="1" allowOverlap="1">
                <wp:simplePos x="0" y="0"/>
                <wp:positionH relativeFrom="column">
                  <wp:posOffset>1642745</wp:posOffset>
                </wp:positionH>
                <wp:positionV relativeFrom="paragraph">
                  <wp:posOffset>53975</wp:posOffset>
                </wp:positionV>
                <wp:extent cx="1191895" cy="287020"/>
                <wp:effectExtent l="0" t="0" r="0" b="0"/>
                <wp:wrapNone/>
                <wp:docPr id="31" name="矩形 31"/>
                <wp:cNvGraphicFramePr/>
                <a:graphic xmlns:a="http://schemas.openxmlformats.org/drawingml/2006/main">
                  <a:graphicData uri="http://schemas.microsoft.com/office/word/2010/wordprocessingShape">
                    <wps:wsp>
                      <wps:cNvSpPr/>
                      <wps:spPr>
                        <a:xfrm>
                          <a:off x="0" y="0"/>
                          <a:ext cx="1191895" cy="2870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sz w:val="24"/>
                                <w:szCs w:val="24"/>
                              </w:rPr>
                            </w:pPr>
                            <w:r>
                              <w:rPr>
                                <w:rFonts w:hint="eastAsia"/>
                                <w:sz w:val="24"/>
                                <w:szCs w:val="24"/>
                              </w:rPr>
                              <w:t>成品保护、验收</w:t>
                            </w:r>
                          </w:p>
                        </w:txbxContent>
                      </wps:txbx>
                      <wps:bodyPr upright="1"/>
                    </wps:wsp>
                  </a:graphicData>
                </a:graphic>
              </wp:anchor>
            </w:drawing>
          </mc:Choice>
          <mc:Fallback>
            <w:pict>
              <v:rect id="_x0000_s1026" o:spid="_x0000_s1026" o:spt="1" style="position:absolute;left:0pt;margin-left:129.35pt;margin-top:4.25pt;height:22.6pt;width:93.85pt;z-index:251678720;mso-width-relative:page;mso-height-relative:page;" fillcolor="#FFFFFF" filled="t" stroked="t" coordsize="21600,21600" o:gfxdata="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0imZV2AAAAAgBAAAPAAAAAAAAAAEAIAAAACIA&#10;AABkcnMvZG93bnJldi54bWxQSwECFAAUAAAACACHTuJAA415ZwkCAAA5BAAADgAAAAAAAAABACAA&#10;AAAnAQAAZHJzL2Uyb0RvYy54bWxQSwUGAAAAAAYABgBZAQAAogUAAAAA&#10;">
                <v:fill on="t" focussize="0,0"/>
                <v:stroke color="#000000" joinstyle="miter"/>
                <v:imagedata o:title=""/>
                <o:lock v:ext="edit" aspectratio="f"/>
                <v:textbox>
                  <w:txbxContent>
                    <w:p>
                      <w:pPr>
                        <w:jc w:val="center"/>
                        <w:rPr>
                          <w:sz w:val="24"/>
                          <w:szCs w:val="24"/>
                        </w:rPr>
                      </w:pPr>
                      <w:r>
                        <w:rPr>
                          <w:rFonts w:hint="eastAsia"/>
                          <w:sz w:val="24"/>
                          <w:szCs w:val="24"/>
                        </w:rPr>
                        <w:t>成品保护、验收</w:t>
                      </w:r>
                    </w:p>
                  </w:txbxContent>
                </v:textbox>
              </v:rect>
            </w:pict>
          </mc:Fallback>
        </mc:AlternateContent>
      </w:r>
    </w:p>
    <w:p>
      <w:pPr>
        <w:tabs>
          <w:tab w:val="left" w:pos="5745"/>
        </w:tabs>
        <w:rPr>
          <w:rFonts w:ascii="Times New Roman" w:hAnsi="Times New Roman"/>
          <w:color w:val="auto"/>
          <w:sz w:val="24"/>
          <w:szCs w:val="24"/>
          <w:highlight w:val="none"/>
        </w:rPr>
      </w:pPr>
    </w:p>
    <w:p>
      <w:pPr>
        <w:spacing w:line="360" w:lineRule="auto"/>
        <w:ind w:firstLine="2310" w:firstLineChars="1100"/>
        <w:rPr>
          <w:rFonts w:ascii="Times New Roman" w:hAnsi="Times New Roman"/>
          <w:color w:val="auto"/>
          <w:szCs w:val="21"/>
          <w:highlight w:val="none"/>
        </w:rPr>
      </w:pPr>
      <w:r>
        <w:rPr>
          <w:rFonts w:hint="eastAsia" w:ascii="Times New Roman" w:hAnsi="Times New Roman"/>
          <w:color w:val="auto"/>
          <w:szCs w:val="21"/>
          <w:highlight w:val="none"/>
        </w:rPr>
        <w:t>图</w:t>
      </w:r>
      <w:r>
        <w:rPr>
          <w:rFonts w:ascii="Times New Roman" w:hAnsi="Times New Roman"/>
          <w:color w:val="auto"/>
          <w:szCs w:val="21"/>
          <w:highlight w:val="none"/>
        </w:rPr>
        <w:t>6.2.1</w:t>
      </w:r>
      <w:r>
        <w:rPr>
          <w:rFonts w:hint="eastAsia" w:ascii="Times New Roman" w:hAnsi="Times New Roman"/>
          <w:color w:val="auto"/>
          <w:szCs w:val="21"/>
          <w:highlight w:val="none"/>
        </w:rPr>
        <w:t>保温复合板施工工序</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ascii="Times New Roman" w:hAnsi="Times New Roman"/>
          <w:color w:val="auto"/>
          <w:sz w:val="24"/>
          <w:szCs w:val="24"/>
          <w:highlight w:val="none"/>
        </w:rPr>
      </w:pPr>
      <w:r>
        <w:rPr>
          <w:rFonts w:ascii="Times New Roman" w:hAnsi="Times New Roman"/>
          <w:b/>
          <w:color w:val="auto"/>
          <w:sz w:val="24"/>
          <w:szCs w:val="24"/>
          <w:highlight w:val="none"/>
        </w:rPr>
        <w:t>6.2.2</w:t>
      </w:r>
      <w:r>
        <w:rPr>
          <w:rFonts w:hint="eastAsia" w:ascii="Times New Roman" w:hAnsi="Times New Roman"/>
          <w:b/>
          <w:color w:val="auto"/>
          <w:sz w:val="24"/>
          <w:szCs w:val="24"/>
          <w:highlight w:val="none"/>
          <w:lang w:val="en-US" w:eastAsia="zh-CN"/>
        </w:rPr>
        <w:t xml:space="preserve"> </w:t>
      </w:r>
      <w:r>
        <w:rPr>
          <w:rFonts w:hint="eastAsia" w:ascii="Times New Roman" w:hAnsi="Times New Roman"/>
          <w:color w:val="auto"/>
          <w:sz w:val="24"/>
          <w:szCs w:val="24"/>
          <w:highlight w:val="none"/>
        </w:rPr>
        <w:t>基层应坚实、平整、干燥、洁净。施工前，应按设计和施工方案的要求对基层进行检查和找平处理，</w:t>
      </w:r>
      <w:r>
        <w:rPr>
          <w:rFonts w:hint="eastAsia" w:ascii="Times New Roman" w:hAnsi="Times New Roman"/>
          <w:color w:val="auto"/>
          <w:sz w:val="24"/>
          <w:szCs w:val="24"/>
          <w:highlight w:val="none"/>
          <w:lang w:val="en-US" w:eastAsia="zh-CN"/>
        </w:rPr>
        <w:t>当有墙面上的槽、凹凸及楼板结构不平整等现象时，应采取填平补强处理措施；</w:t>
      </w:r>
      <w:r>
        <w:rPr>
          <w:rFonts w:hint="eastAsia" w:ascii="Times New Roman" w:hAnsi="Times New Roman"/>
          <w:color w:val="auto"/>
          <w:sz w:val="24"/>
          <w:szCs w:val="24"/>
          <w:highlight w:val="none"/>
        </w:rPr>
        <w:t>基层与找平层之间，应按规定选择适宜的界面砂浆</w:t>
      </w:r>
      <w:r>
        <w:rPr>
          <w:rFonts w:hint="eastAsia" w:ascii="Times New Roman" w:hAnsi="Times New Roman"/>
          <w:color w:val="auto"/>
          <w:sz w:val="24"/>
          <w:szCs w:val="24"/>
          <w:highlight w:val="none"/>
          <w:lang w:eastAsia="zh-CN"/>
        </w:rPr>
        <w:t>。</w:t>
      </w:r>
    </w:p>
    <w:p>
      <w:pPr>
        <w:spacing w:line="360" w:lineRule="auto"/>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【条文说明】</w:t>
      </w:r>
      <w:r>
        <w:rPr>
          <w:rFonts w:hint="eastAsia" w:ascii="楷体" w:hAnsi="楷体" w:eastAsia="楷体"/>
          <w:color w:val="auto"/>
          <w:sz w:val="24"/>
          <w:szCs w:val="24"/>
          <w:highlight w:val="none"/>
          <w:lang w:val="en-US" w:eastAsia="zh-CN"/>
        </w:rPr>
        <w:t>6.2.2复合板施工是干作业，故要求安装现场要保持干燥、清洁，地面不应有积水，应对现场进行清洁，清除积灰油污及杂物，防止复合板污染。</w:t>
      </w:r>
      <w:r>
        <w:rPr>
          <w:rFonts w:hint="eastAsia" w:ascii="楷体" w:hAnsi="楷体" w:eastAsia="楷体"/>
          <w:color w:val="auto"/>
          <w:sz w:val="24"/>
          <w:szCs w:val="24"/>
          <w:highlight w:val="none"/>
        </w:rPr>
        <w:t>基层是否平整,坚实,对保温层的粘结可靠性、抹面层和饰面层的尺寸允许偏差影响极大,因此必须在基层施工质量验收合格后,方可进行内保温工程施工。</w:t>
      </w:r>
    </w:p>
    <w:p>
      <w:pPr>
        <w:spacing w:line="360" w:lineRule="auto"/>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lang w:val="en-US" w:eastAsia="zh-CN"/>
        </w:rPr>
        <w:t>安装位置上的地面或天棚有残留的水泥必须铲除，以免影响到板缝隙的拼接不严，在安装复合板前应将地面不平整予以修复。清洁基墙面上的浮灰、浮浆或去除空鼓、脱落的粉刷，是为了有效发挥粘结材料粘结作用;</w:t>
      </w:r>
      <w:r>
        <w:rPr>
          <w:rFonts w:hint="eastAsia" w:ascii="楷体" w:hAnsi="楷体" w:eastAsia="楷体"/>
          <w:color w:val="auto"/>
          <w:sz w:val="24"/>
          <w:szCs w:val="24"/>
          <w:highlight w:val="none"/>
        </w:rPr>
        <w:t>为确保基层平整</w:t>
      </w:r>
      <w:r>
        <w:rPr>
          <w:rFonts w:hint="eastAsia" w:ascii="楷体" w:hAnsi="楷体" w:eastAsia="楷体"/>
          <w:color w:val="auto"/>
          <w:sz w:val="24"/>
          <w:szCs w:val="24"/>
          <w:highlight w:val="none"/>
          <w:lang w:eastAsia="zh-CN"/>
        </w:rPr>
        <w:t>、</w:t>
      </w:r>
      <w:r>
        <w:rPr>
          <w:rFonts w:hint="eastAsia" w:ascii="楷体" w:hAnsi="楷体" w:eastAsia="楷体"/>
          <w:color w:val="auto"/>
          <w:sz w:val="24"/>
          <w:szCs w:val="24"/>
          <w:highlight w:val="none"/>
        </w:rPr>
        <w:t>坚实,保温层粘结施工前,应采用水泥找平处理,不仅可改善基层平整度,还可提高基层墙体防水功能。为确保水泥砂浆找平层与基层墙体可靠粘结,应根据基层墙体的性质,在基层与永泥砂浆找平层之间,选用不同的界面砂浆,改善水泥砂浆找平层与基层墙体的粘结性能,并防止空鼓.开裂.脱层。</w:t>
      </w:r>
    </w:p>
    <w:p>
      <w:pPr>
        <w:spacing w:line="360" w:lineRule="auto"/>
        <w:outlineLvl w:val="2"/>
        <w:rPr>
          <w:rFonts w:ascii="Times New Roman" w:hAnsi="Times New Roman"/>
          <w:color w:val="auto"/>
          <w:sz w:val="24"/>
          <w:szCs w:val="24"/>
          <w:highlight w:val="none"/>
        </w:rPr>
      </w:pPr>
      <w:r>
        <w:rPr>
          <w:rFonts w:ascii="Times New Roman" w:hAnsi="Times New Roman"/>
          <w:b/>
          <w:color w:val="auto"/>
          <w:sz w:val="24"/>
          <w:szCs w:val="24"/>
          <w:highlight w:val="none"/>
        </w:rPr>
        <w:t xml:space="preserve">6.2.3 </w:t>
      </w:r>
      <w:r>
        <w:rPr>
          <w:rFonts w:hint="eastAsia" w:ascii="Times New Roman" w:hAnsi="Times New Roman"/>
          <w:color w:val="auto"/>
          <w:sz w:val="24"/>
          <w:szCs w:val="24"/>
          <w:highlight w:val="none"/>
        </w:rPr>
        <w:t>弹线定位及切板应符合下列规定：</w:t>
      </w:r>
    </w:p>
    <w:p>
      <w:pPr>
        <w:spacing w:line="360" w:lineRule="auto"/>
        <w:ind w:firstLine="482" w:firstLineChars="200"/>
        <w:rPr>
          <w:rFonts w:ascii="Times New Roman" w:hAnsi="Times New Roman"/>
          <w:color w:val="auto"/>
          <w:sz w:val="24"/>
          <w:szCs w:val="24"/>
          <w:highlight w:val="none"/>
        </w:rPr>
      </w:pPr>
      <w:r>
        <w:rPr>
          <w:rFonts w:ascii="Times New Roman" w:hAnsi="Times New Roman"/>
          <w:b/>
          <w:bCs/>
          <w:color w:val="auto"/>
          <w:sz w:val="24"/>
          <w:szCs w:val="24"/>
          <w:highlight w:val="none"/>
        </w:rPr>
        <w:t>1</w:t>
      </w:r>
      <w:r>
        <w:rPr>
          <w:rFonts w:hint="eastAsia" w:ascii="Times New Roman" w:hAnsi="Times New Roman"/>
          <w:color w:val="auto"/>
          <w:sz w:val="24"/>
          <w:szCs w:val="24"/>
          <w:highlight w:val="none"/>
        </w:rPr>
        <w:t>根据实际尺寸并结合线路接线盒、洞口尺寸和位置，从一端开始向另一端进行排板，做到合理、省材、安全。</w:t>
      </w:r>
    </w:p>
    <w:p>
      <w:pPr>
        <w:spacing w:line="360" w:lineRule="auto"/>
        <w:ind w:firstLine="482" w:firstLineChars="200"/>
        <w:rPr>
          <w:rFonts w:ascii="Times New Roman" w:hAnsi="Times New Roman"/>
          <w:color w:val="auto"/>
          <w:sz w:val="24"/>
          <w:szCs w:val="24"/>
          <w:highlight w:val="none"/>
        </w:rPr>
      </w:pPr>
      <w:r>
        <w:rPr>
          <w:rFonts w:ascii="Times New Roman" w:hAnsi="Times New Roman"/>
          <w:b/>
          <w:bCs/>
          <w:color w:val="auto"/>
          <w:sz w:val="24"/>
          <w:szCs w:val="24"/>
          <w:highlight w:val="none"/>
        </w:rPr>
        <w:t>2</w:t>
      </w:r>
      <w:r>
        <w:rPr>
          <w:rFonts w:hint="eastAsia" w:ascii="Times New Roman" w:hAnsi="Times New Roman"/>
          <w:color w:val="auto"/>
          <w:sz w:val="24"/>
          <w:szCs w:val="24"/>
          <w:highlight w:val="none"/>
        </w:rPr>
        <w:t>结合实际现状，以实际控制点（粘结层厚度＋保温复合板厚度）在屋面、墙面上弹出参照定位线，通过控制粘结层厚度（在</w:t>
      </w:r>
      <w:r>
        <w:rPr>
          <w:rFonts w:ascii="Times New Roman" w:hAnsi="Times New Roman"/>
          <w:color w:val="auto"/>
          <w:sz w:val="24"/>
          <w:szCs w:val="24"/>
          <w:highlight w:val="none"/>
        </w:rPr>
        <w:t>5mm</w:t>
      </w:r>
      <w:r>
        <w:rPr>
          <w:rFonts w:hint="eastAsia" w:ascii="Times New Roman" w:hAnsi="Times New Roman"/>
          <w:color w:val="auto"/>
          <w:sz w:val="24"/>
          <w:szCs w:val="24"/>
          <w:highlight w:val="none"/>
        </w:rPr>
        <w:t>内）来调整垂直度和平整度。</w:t>
      </w:r>
    </w:p>
    <w:p>
      <w:pPr>
        <w:spacing w:line="360" w:lineRule="auto"/>
        <w:ind w:firstLine="482" w:firstLineChars="200"/>
        <w:rPr>
          <w:rFonts w:hint="eastAsia" w:ascii="Times New Roman" w:hAnsi="Times New Roman"/>
          <w:color w:val="auto"/>
          <w:sz w:val="24"/>
          <w:szCs w:val="24"/>
          <w:highlight w:val="none"/>
        </w:rPr>
      </w:pPr>
      <w:r>
        <w:rPr>
          <w:rFonts w:ascii="Times New Roman" w:hAnsi="Times New Roman"/>
          <w:b/>
          <w:bCs/>
          <w:color w:val="auto"/>
          <w:sz w:val="24"/>
          <w:szCs w:val="24"/>
          <w:highlight w:val="none"/>
        </w:rPr>
        <w:t>3</w:t>
      </w:r>
      <w:r>
        <w:rPr>
          <w:rFonts w:hint="eastAsia" w:ascii="Times New Roman" w:hAnsi="Times New Roman"/>
          <w:color w:val="auto"/>
          <w:sz w:val="24"/>
          <w:szCs w:val="24"/>
          <w:highlight w:val="none"/>
        </w:rPr>
        <w:t>切板：根据尺寸排板切割相应大小的保温复合板，控制好门窗框、线盒、开关部位保温复合板的切割。不平切割边需用打磨器将其打磨平整，基层墙体阳角和阴角处的保温复合板须做切边处理。</w:t>
      </w:r>
    </w:p>
    <w:p>
      <w:pPr>
        <w:spacing w:line="360" w:lineRule="auto"/>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【条文说明】</w:t>
      </w:r>
      <w:r>
        <w:rPr>
          <w:rFonts w:hint="eastAsia" w:ascii="楷体" w:hAnsi="楷体" w:eastAsia="楷体"/>
          <w:color w:val="auto"/>
          <w:sz w:val="24"/>
          <w:szCs w:val="24"/>
          <w:highlight w:val="none"/>
          <w:lang w:val="en-US" w:eastAsia="zh-CN"/>
        </w:rPr>
        <w:t xml:space="preserve">6.2.3根据实测墙面得到复合板的实际安装尺寸，根据设计所选板型，提前对复合板进行排版，排板应按设计和本标准要求算准尺寸，精心施工，合理进行排版，可以提高施工效率，确保保温板实施质量。并根据门窗洞口、线路接线盒等的尺寸和位置，进行排版后切割打磨，确保保温板平整度和外观质量，严禁安装好后再次进行开洞打眼，损害系统功能。并通过控制粘结层厚度以调整垂直度和平整度。 </w:t>
      </w:r>
    </w:p>
    <w:p>
      <w:pPr>
        <w:spacing w:line="360" w:lineRule="auto"/>
        <w:outlineLvl w:val="2"/>
        <w:rPr>
          <w:rFonts w:ascii="Times New Roman" w:hAnsi="Times New Roman"/>
          <w:color w:val="auto"/>
          <w:sz w:val="24"/>
          <w:szCs w:val="24"/>
          <w:highlight w:val="none"/>
        </w:rPr>
      </w:pPr>
      <w:r>
        <w:rPr>
          <w:rFonts w:ascii="Times New Roman" w:hAnsi="Times New Roman"/>
          <w:b/>
          <w:color w:val="auto"/>
          <w:sz w:val="24"/>
          <w:szCs w:val="24"/>
          <w:highlight w:val="none"/>
        </w:rPr>
        <w:t xml:space="preserve">6.2.4 </w:t>
      </w:r>
      <w:r>
        <w:rPr>
          <w:rFonts w:hint="eastAsia" w:ascii="Times New Roman" w:hAnsi="Times New Roman"/>
          <w:color w:val="auto"/>
          <w:sz w:val="24"/>
          <w:szCs w:val="24"/>
          <w:highlight w:val="none"/>
        </w:rPr>
        <w:t>配制胶粘剂应按下列规定进行：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Times New Roman" w:hAnsi="Times New Roman"/>
          <w:color w:val="auto"/>
          <w:sz w:val="24"/>
          <w:szCs w:val="24"/>
          <w:highlight w:val="none"/>
        </w:rPr>
      </w:pPr>
      <w:r>
        <w:rPr>
          <w:rFonts w:ascii="Times New Roman" w:hAnsi="Times New Roman"/>
          <w:color w:val="auto"/>
          <w:sz w:val="24"/>
          <w:szCs w:val="24"/>
          <w:highlight w:val="none"/>
        </w:rPr>
        <w:t>1</w:t>
      </w:r>
      <w:r>
        <w:rPr>
          <w:rFonts w:hint="eastAsia" w:ascii="Times New Roman" w:hAnsi="Times New Roman"/>
          <w:color w:val="auto"/>
          <w:sz w:val="24"/>
          <w:szCs w:val="24"/>
          <w:highlight w:val="none"/>
        </w:rPr>
        <w:t>应严格按供应商提供的配合比和制作工艺在现场进行配制。</w:t>
      </w:r>
    </w:p>
    <w:p>
      <w:pPr>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2</w:t>
      </w:r>
      <w:r>
        <w:rPr>
          <w:rFonts w:hint="eastAsia" w:ascii="Times New Roman" w:hAnsi="Times New Roman"/>
          <w:color w:val="auto"/>
          <w:sz w:val="24"/>
          <w:szCs w:val="24"/>
          <w:highlight w:val="none"/>
        </w:rPr>
        <w:t>单次配制量不宜过多，应视现场环境气温条件控制在</w:t>
      </w:r>
      <w:r>
        <w:rPr>
          <w:rFonts w:ascii="Times New Roman" w:hAnsi="Times New Roman"/>
          <w:color w:val="auto"/>
          <w:sz w:val="24"/>
          <w:szCs w:val="24"/>
          <w:highlight w:val="none"/>
        </w:rPr>
        <w:t>2h</w:t>
      </w:r>
      <w:r>
        <w:rPr>
          <w:rFonts w:hint="eastAsia" w:ascii="Times New Roman" w:hAnsi="Times New Roman"/>
          <w:color w:val="auto"/>
          <w:sz w:val="24"/>
          <w:szCs w:val="24"/>
          <w:highlight w:val="none"/>
        </w:rPr>
        <w:t>内（或按产品说明书中的规定）使用完。</w:t>
      </w:r>
    </w:p>
    <w:p>
      <w:pPr>
        <w:spacing w:line="360" w:lineRule="auto"/>
        <w:ind w:firstLine="480" w:firstLineChars="200"/>
        <w:rPr>
          <w:rFonts w:hint="eastAsia" w:ascii="Times New Roman" w:hAnsi="Times New Roman"/>
          <w:color w:val="auto"/>
          <w:sz w:val="24"/>
          <w:szCs w:val="24"/>
          <w:highlight w:val="none"/>
        </w:rPr>
      </w:pPr>
      <w:r>
        <w:rPr>
          <w:rFonts w:ascii="Times New Roman" w:hAnsi="Times New Roman"/>
          <w:color w:val="auto"/>
          <w:sz w:val="24"/>
          <w:szCs w:val="24"/>
          <w:highlight w:val="none"/>
        </w:rPr>
        <w:t>3</w:t>
      </w:r>
      <w:r>
        <w:rPr>
          <w:rFonts w:hint="eastAsia" w:ascii="Times New Roman" w:hAnsi="Times New Roman"/>
          <w:color w:val="auto"/>
          <w:sz w:val="24"/>
          <w:szCs w:val="24"/>
          <w:highlight w:val="none"/>
        </w:rPr>
        <w:t>按点框法粘结，</w:t>
      </w:r>
      <w:r>
        <w:rPr>
          <w:rFonts w:hint="eastAsia" w:asciiTheme="minorEastAsia" w:hAnsiTheme="minorEastAsia"/>
          <w:color w:val="auto"/>
          <w:sz w:val="24"/>
          <w:szCs w:val="24"/>
          <w:highlight w:val="none"/>
        </w:rPr>
        <w:t>粘贴面积</w:t>
      </w:r>
      <w:r>
        <w:rPr>
          <w:rFonts w:hint="eastAsia" w:asciiTheme="minorEastAsia" w:hAnsiTheme="minorEastAsia"/>
          <w:color w:val="auto"/>
          <w:sz w:val="24"/>
          <w:szCs w:val="24"/>
          <w:highlight w:val="none"/>
          <w:lang w:val="en-US" w:eastAsia="zh-CN"/>
        </w:rPr>
        <w:t>复核标准5.2.3条要求</w:t>
      </w:r>
      <w:r>
        <w:rPr>
          <w:rFonts w:hint="eastAsia" w:ascii="Times New Roman" w:hAnsi="Times New Roman"/>
          <w:color w:val="auto"/>
          <w:sz w:val="24"/>
          <w:szCs w:val="24"/>
          <w:highlight w:val="none"/>
        </w:rPr>
        <w:t>。</w:t>
      </w:r>
    </w:p>
    <w:p>
      <w:pPr>
        <w:keepNext w:val="0"/>
        <w:keepLines w:val="0"/>
        <w:widowControl/>
        <w:suppressLineNumbers w:val="0"/>
        <w:jc w:val="left"/>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【条文说明】</w:t>
      </w:r>
      <w:r>
        <w:rPr>
          <w:rFonts w:hint="eastAsia" w:ascii="楷体" w:hAnsi="楷体" w:eastAsia="楷体"/>
          <w:color w:val="auto"/>
          <w:sz w:val="24"/>
          <w:szCs w:val="24"/>
          <w:highlight w:val="none"/>
          <w:lang w:val="en-US" w:eastAsia="zh-CN"/>
        </w:rPr>
        <w:t xml:space="preserve">6.2.4因材料的特性要求，胶粘剂必须在规定时间内用完，否则拌置好的粘结材料与嵌缝材料将凝固而无法使用;严格按要求配置和使用粘胶剂。 </w:t>
      </w:r>
    </w:p>
    <w:p>
      <w:pPr>
        <w:pStyle w:val="2"/>
        <w:rPr>
          <w:rFonts w:hint="eastAsia" w:ascii="Times New Roman" w:hAnsi="Times New Roman"/>
          <w:color w:val="auto"/>
          <w:sz w:val="24"/>
          <w:szCs w:val="24"/>
          <w:highlight w:val="none"/>
        </w:rPr>
      </w:pPr>
    </w:p>
    <w:p>
      <w:pPr>
        <w:spacing w:line="360" w:lineRule="auto"/>
        <w:outlineLvl w:val="2"/>
        <w:rPr>
          <w:rFonts w:ascii="Times New Roman" w:hAnsi="Times New Roman"/>
          <w:color w:val="auto"/>
          <w:sz w:val="24"/>
          <w:szCs w:val="24"/>
          <w:highlight w:val="none"/>
        </w:rPr>
      </w:pPr>
      <w:r>
        <w:rPr>
          <w:rFonts w:ascii="Times New Roman" w:hAnsi="Times New Roman"/>
          <w:b/>
          <w:color w:val="auto"/>
          <w:sz w:val="24"/>
          <w:szCs w:val="24"/>
          <w:highlight w:val="none"/>
        </w:rPr>
        <w:t xml:space="preserve">6.2.5 </w:t>
      </w:r>
      <w:r>
        <w:rPr>
          <w:rFonts w:hint="eastAsia" w:ascii="Times New Roman" w:hAnsi="Times New Roman"/>
          <w:color w:val="auto"/>
          <w:sz w:val="24"/>
          <w:szCs w:val="24"/>
          <w:highlight w:val="none"/>
        </w:rPr>
        <w:t>保温复合板安装应符合下列规定：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lang w:val="en-US" w:eastAsia="zh-CN"/>
        </w:rPr>
        <w:t>1粘贴复合板应按“先下后上、先整张后非整张”的原则施工。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Times New Roman" w:hAnsi="Times New Roman"/>
          <w:color w:val="auto"/>
          <w:sz w:val="24"/>
          <w:szCs w:val="24"/>
          <w:highlight w:val="none"/>
        </w:rPr>
      </w:pPr>
      <w:r>
        <w:rPr>
          <w:rFonts w:hint="eastAsia" w:ascii="Times New Roman" w:hAnsi="Times New Roman"/>
          <w:bCs/>
          <w:color w:val="auto"/>
          <w:sz w:val="24"/>
          <w:szCs w:val="24"/>
          <w:highlight w:val="none"/>
          <w:lang w:val="en-US" w:eastAsia="zh-CN"/>
        </w:rPr>
        <w:t>2</w:t>
      </w:r>
      <w:r>
        <w:rPr>
          <w:rFonts w:hint="eastAsia" w:ascii="Times New Roman" w:hAnsi="Times New Roman"/>
          <w:color w:val="auto"/>
          <w:sz w:val="24"/>
          <w:szCs w:val="24"/>
          <w:highlight w:val="none"/>
        </w:rPr>
        <w:t>及时将涂好胶粘剂的保温复合板从一端开始，</w:t>
      </w:r>
      <w:r>
        <w:rPr>
          <w:rFonts w:hint="eastAsia" w:asciiTheme="minorEastAsia" w:hAnsiTheme="minorEastAsia" w:eastAsiaTheme="minorEastAsia" w:cstheme="minorEastAsia"/>
          <w:b w:val="0"/>
          <w:bCs/>
          <w:color w:val="auto"/>
          <w:sz w:val="24"/>
          <w:szCs w:val="24"/>
          <w:highlight w:val="none"/>
          <w:lang w:val="en-US" w:eastAsia="zh-CN"/>
        </w:rPr>
        <w:t>从房间墙面一端开始，</w:t>
      </w:r>
      <w:r>
        <w:rPr>
          <w:rFonts w:hint="eastAsia" w:ascii="Times New Roman" w:hAnsi="Times New Roman"/>
          <w:color w:val="auto"/>
          <w:sz w:val="24"/>
          <w:szCs w:val="24"/>
          <w:highlight w:val="none"/>
        </w:rPr>
        <w:t>按控制线顺序安装，</w:t>
      </w:r>
      <w:r>
        <w:rPr>
          <w:rFonts w:hint="eastAsia" w:asciiTheme="minorEastAsia" w:hAnsiTheme="minorEastAsia" w:eastAsiaTheme="minorEastAsia" w:cstheme="minorEastAsia"/>
          <w:b w:val="0"/>
          <w:bCs/>
          <w:color w:val="auto"/>
          <w:sz w:val="24"/>
          <w:szCs w:val="24"/>
          <w:highlight w:val="none"/>
          <w:lang w:val="en-US" w:eastAsia="zh-CN"/>
        </w:rPr>
        <w:t>板与板之间紧密拼缝，板面应平整，接缝缝隙不应大于5mm。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color w:val="auto"/>
          <w:sz w:val="24"/>
          <w:szCs w:val="24"/>
          <w:highlight w:val="none"/>
        </w:rPr>
      </w:pPr>
      <w:r>
        <w:rPr>
          <w:rFonts w:hint="eastAsia" w:ascii="Times New Roman" w:hAnsi="Times New Roman"/>
          <w:color w:val="auto"/>
          <w:sz w:val="24"/>
          <w:szCs w:val="24"/>
          <w:highlight w:val="none"/>
          <w:lang w:val="en-US" w:eastAsia="zh-CN"/>
        </w:rPr>
        <w:t>3</w:t>
      </w:r>
      <w:r>
        <w:rPr>
          <w:rFonts w:hint="eastAsia" w:ascii="Times New Roman" w:hAnsi="Times New Roman"/>
          <w:color w:val="auto"/>
          <w:sz w:val="24"/>
          <w:szCs w:val="24"/>
          <w:highlight w:val="none"/>
        </w:rPr>
        <w:t>以顶部及地面所弹参照线为准，使用橡皮锤敲击打夯保温复合板表面，用</w:t>
      </w:r>
      <w:r>
        <w:rPr>
          <w:rFonts w:ascii="Times New Roman" w:hAnsi="Times New Roman"/>
          <w:color w:val="auto"/>
          <w:sz w:val="24"/>
          <w:szCs w:val="24"/>
          <w:highlight w:val="none"/>
        </w:rPr>
        <w:t>2m</w:t>
      </w:r>
      <w:r>
        <w:rPr>
          <w:rFonts w:hint="eastAsia" w:ascii="Times New Roman" w:hAnsi="Times New Roman"/>
          <w:color w:val="auto"/>
          <w:sz w:val="24"/>
          <w:szCs w:val="24"/>
          <w:highlight w:val="none"/>
        </w:rPr>
        <w:t>靠尺和托线板检查，确保保温复合板安装到位，板面的平整度和垂直度调整</w:t>
      </w:r>
      <w:r>
        <w:rPr>
          <w:rFonts w:hint="eastAsia" w:ascii="Times New Roman" w:hAnsi="Times New Roman"/>
          <w:color w:val="auto"/>
          <w:sz w:val="24"/>
          <w:szCs w:val="24"/>
          <w:highlight w:val="none"/>
          <w:lang w:val="en-US" w:eastAsia="zh-CN"/>
        </w:rPr>
        <w:t>到位，</w:t>
      </w:r>
      <w:r>
        <w:rPr>
          <w:rFonts w:hint="eastAsia" w:ascii="Times New Roman" w:hAnsi="Times New Roman"/>
          <w:color w:val="auto"/>
          <w:sz w:val="24"/>
          <w:szCs w:val="24"/>
          <w:highlight w:val="none"/>
        </w:rPr>
        <w:t>贴紧挤压均匀，清除板边溢出的胶粘剂。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lang w:val="en-US" w:eastAsia="zh-CN"/>
        </w:rPr>
        <w:t>4复合板与楼地面之间应设缝隙，缝隙不应大于10mm，应采用聚苯乙烯泡沫条嵌缝，并应采用嵌缝石膏填实。</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Times New Roman" w:hAnsi="Times New Roman"/>
          <w:color w:val="auto"/>
          <w:sz w:val="24"/>
          <w:szCs w:val="24"/>
          <w:highlight w:val="none"/>
        </w:rPr>
      </w:pPr>
      <w:r>
        <w:rPr>
          <w:rFonts w:hint="eastAsia" w:ascii="Times New Roman" w:hAnsi="Times New Roman"/>
          <w:color w:val="auto"/>
          <w:sz w:val="24"/>
          <w:szCs w:val="24"/>
          <w:highlight w:val="none"/>
          <w:lang w:val="en-US" w:eastAsia="zh-CN"/>
        </w:rPr>
        <w:t>5</w:t>
      </w:r>
      <w:r>
        <w:rPr>
          <w:rFonts w:hint="eastAsia" w:ascii="Times New Roman" w:hAnsi="Times New Roman"/>
          <w:color w:val="auto"/>
          <w:sz w:val="24"/>
          <w:szCs w:val="24"/>
          <w:highlight w:val="none"/>
        </w:rPr>
        <w:t>当墙体高度超过保温复合板长边时，应待下层保温复合板的粘贴材料硬化后（</w:t>
      </w:r>
      <w:r>
        <w:rPr>
          <w:rFonts w:ascii="Times New Roman" w:hAnsi="Times New Roman"/>
          <w:color w:val="auto"/>
          <w:sz w:val="24"/>
          <w:szCs w:val="24"/>
          <w:highlight w:val="none"/>
        </w:rPr>
        <w:t>8h</w:t>
      </w:r>
      <w:r>
        <w:rPr>
          <w:rFonts w:hint="eastAsia" w:ascii="Times New Roman" w:hAnsi="Times New Roman"/>
          <w:color w:val="auto"/>
          <w:sz w:val="24"/>
          <w:szCs w:val="24"/>
          <w:highlight w:val="none"/>
        </w:rPr>
        <w:t>）再进行上层保温复合板的墙体安装。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Times New Roman" w:hAnsi="Times New Roman"/>
          <w:b/>
          <w:color w:val="auto"/>
          <w:sz w:val="24"/>
          <w:szCs w:val="24"/>
          <w:highlight w:val="none"/>
        </w:rPr>
      </w:pPr>
      <w:r>
        <w:rPr>
          <w:rFonts w:hint="eastAsia" w:asciiTheme="minorEastAsia" w:hAnsiTheme="minorEastAsia" w:eastAsiaTheme="minorEastAsia" w:cstheme="minorEastAsia"/>
          <w:b w:val="0"/>
          <w:bCs/>
          <w:color w:val="auto"/>
          <w:sz w:val="24"/>
          <w:szCs w:val="24"/>
          <w:highlight w:val="none"/>
          <w:lang w:val="en-US" w:eastAsia="zh-CN"/>
        </w:rPr>
        <w:t>6施工时，在复合板表面设置的临时支撑，在安装锚栓前不得拆除临时支撑。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7应在整个房间墙面复合板粘贴完后开窗通风。</w:t>
      </w:r>
    </w:p>
    <w:p>
      <w:pPr>
        <w:spacing w:line="360" w:lineRule="auto"/>
        <w:outlineLvl w:val="2"/>
        <w:rPr>
          <w:rFonts w:hint="eastAsia" w:asciiTheme="minorEastAsia" w:hAnsiTheme="minorEastAsia" w:eastAsiaTheme="minorEastAsia" w:cstheme="minorEastAsia"/>
          <w:b w:val="0"/>
          <w:bCs/>
          <w:color w:val="auto"/>
          <w:sz w:val="24"/>
          <w:szCs w:val="24"/>
          <w:highlight w:val="none"/>
        </w:rPr>
      </w:pPr>
      <w:r>
        <w:rPr>
          <w:rFonts w:hint="eastAsia" w:ascii="Times New Roman" w:hAnsi="Times New Roman"/>
          <w:b/>
          <w:color w:val="auto"/>
          <w:sz w:val="24"/>
          <w:szCs w:val="24"/>
          <w:highlight w:val="none"/>
          <w:lang w:val="en-US" w:eastAsia="zh-CN"/>
        </w:rPr>
        <w:t>6.2.6</w:t>
      </w:r>
      <w:r>
        <w:rPr>
          <w:rFonts w:hint="eastAsia" w:asciiTheme="minorEastAsia" w:hAnsiTheme="minorEastAsia" w:eastAsiaTheme="minorEastAsia" w:cstheme="minorEastAsia"/>
          <w:b w:val="0"/>
          <w:bCs/>
          <w:color w:val="auto"/>
          <w:sz w:val="24"/>
          <w:szCs w:val="24"/>
          <w:highlight w:val="none"/>
          <w:lang w:val="en-US" w:eastAsia="zh-CN"/>
        </w:rPr>
        <w:t xml:space="preserve"> 锚栓应在整面墙复合板粘贴施工完成后安装。安装前应检查复合板与墙体基层粘结状态，复合板松动时，应拆除复合板，清理粘结层，重新安装复合板；不得采用安装锚栓方式加固已松动的复合板。</w:t>
      </w:r>
    </w:p>
    <w:p>
      <w:pPr>
        <w:spacing w:line="360" w:lineRule="auto"/>
        <w:outlineLvl w:val="2"/>
        <w:rPr>
          <w:rFonts w:ascii="Times New Roman" w:hAnsi="Times New Roman"/>
          <w:color w:val="auto"/>
          <w:sz w:val="24"/>
          <w:szCs w:val="24"/>
          <w:highlight w:val="none"/>
        </w:rPr>
      </w:pPr>
      <w:r>
        <w:rPr>
          <w:rFonts w:ascii="Times New Roman" w:hAnsi="Times New Roman"/>
          <w:b/>
          <w:color w:val="auto"/>
          <w:sz w:val="24"/>
          <w:szCs w:val="24"/>
          <w:highlight w:val="none"/>
        </w:rPr>
        <w:t>6.2.</w:t>
      </w:r>
      <w:r>
        <w:rPr>
          <w:rFonts w:hint="eastAsia" w:ascii="Times New Roman" w:hAnsi="Times New Roman"/>
          <w:b/>
          <w:color w:val="auto"/>
          <w:sz w:val="24"/>
          <w:szCs w:val="24"/>
          <w:highlight w:val="none"/>
          <w:lang w:val="en-US" w:eastAsia="zh-CN"/>
        </w:rPr>
        <w:t>7</w:t>
      </w:r>
      <w:r>
        <w:rPr>
          <w:rFonts w:ascii="Times New Roman" w:hAnsi="Times New Roman"/>
          <w:b/>
          <w:color w:val="auto"/>
          <w:sz w:val="24"/>
          <w:szCs w:val="24"/>
          <w:highlight w:val="none"/>
        </w:rPr>
        <w:t xml:space="preserve"> </w:t>
      </w:r>
      <w:r>
        <w:rPr>
          <w:rFonts w:hint="eastAsia" w:ascii="Times New Roman" w:hAnsi="Times New Roman"/>
          <w:color w:val="auto"/>
          <w:sz w:val="24"/>
          <w:szCs w:val="24"/>
          <w:highlight w:val="none"/>
        </w:rPr>
        <w:t>内保温系统锚栓安装应符合下列规定：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Times New Roman" w:hAnsi="Times New Roman"/>
          <w:color w:val="auto"/>
          <w:sz w:val="24"/>
          <w:szCs w:val="24"/>
          <w:highlight w:val="none"/>
        </w:rPr>
      </w:pPr>
      <w:r>
        <w:rPr>
          <w:rFonts w:hint="eastAsia" w:ascii="Times New Roman" w:hAnsi="Times New Roman"/>
          <w:color w:val="auto"/>
          <w:sz w:val="24"/>
          <w:szCs w:val="24"/>
          <w:highlight w:val="none"/>
        </w:rPr>
        <w:t>1锚栓进入基层的有效锚固深度</w:t>
      </w:r>
      <w:r>
        <w:rPr>
          <w:rFonts w:hint="eastAsia" w:ascii="Times New Roman" w:hAnsi="Times New Roman"/>
          <w:color w:val="auto"/>
          <w:sz w:val="24"/>
          <w:szCs w:val="24"/>
          <w:highlight w:val="none"/>
          <w:lang w:val="en-US" w:eastAsia="zh-CN"/>
        </w:rPr>
        <w:t>符合标准5.2.4条要求</w:t>
      </w:r>
      <w:r>
        <w:rPr>
          <w:rFonts w:hint="eastAsia" w:ascii="Times New Roman" w:hAnsi="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Times New Roman" w:hAnsi="Times New Roman"/>
          <w:color w:val="auto"/>
          <w:sz w:val="24"/>
          <w:szCs w:val="24"/>
          <w:highlight w:val="none"/>
        </w:rPr>
      </w:pPr>
      <w:r>
        <w:rPr>
          <w:rFonts w:hint="eastAsia" w:ascii="Times New Roman" w:hAnsi="Times New Roman"/>
          <w:color w:val="auto"/>
          <w:sz w:val="24"/>
          <w:szCs w:val="24"/>
          <w:highlight w:val="none"/>
        </w:rPr>
        <w:t>2锚栓件的安装使用电锤（橡皮锤）安装，防止破坏保温复合板。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heme="minorEastAsia" w:hAnsiTheme="minorEastAsia" w:eastAsiaTheme="minorEastAsia" w:cstheme="minorEastAsia"/>
          <w:b w:val="0"/>
          <w:bCs/>
          <w:color w:val="auto"/>
          <w:sz w:val="24"/>
          <w:szCs w:val="24"/>
          <w:highlight w:val="none"/>
        </w:rPr>
      </w:pPr>
      <w:r>
        <w:rPr>
          <w:rFonts w:ascii="Times New Roman" w:hAnsi="Times New Roman"/>
          <w:color w:val="auto"/>
          <w:sz w:val="24"/>
          <w:szCs w:val="24"/>
          <w:highlight w:val="none"/>
        </w:rPr>
        <w:t>3</w:t>
      </w:r>
      <w:r>
        <w:rPr>
          <w:rFonts w:hint="eastAsia" w:asciiTheme="minorEastAsia" w:hAnsiTheme="minorEastAsia" w:eastAsiaTheme="minorEastAsia" w:cstheme="minorEastAsia"/>
          <w:b w:val="0"/>
          <w:bCs/>
          <w:color w:val="auto"/>
          <w:sz w:val="24"/>
          <w:szCs w:val="24"/>
          <w:highlight w:val="none"/>
          <w:lang w:val="en-US" w:eastAsia="zh-CN"/>
        </w:rPr>
        <w:t>采用水泥基粘结胶浆安装复合板，应在整面墙复合板粘贴施工完成48h后安装锚栓;采用粘结石膏安装复合板，应在整面墙复合板粘贴施工完成24h 后安装锚栓。</w:t>
      </w:r>
    </w:p>
    <w:p>
      <w:pPr>
        <w:spacing w:line="360" w:lineRule="auto"/>
        <w:outlineLvl w:val="2"/>
        <w:rPr>
          <w:rFonts w:ascii="Times New Roman" w:hAnsi="Times New Roman"/>
          <w:color w:val="auto"/>
          <w:sz w:val="24"/>
          <w:szCs w:val="24"/>
          <w:highlight w:val="none"/>
        </w:rPr>
      </w:pPr>
      <w:r>
        <w:rPr>
          <w:rFonts w:ascii="Times New Roman" w:hAnsi="Times New Roman"/>
          <w:b/>
          <w:color w:val="auto"/>
          <w:sz w:val="24"/>
          <w:szCs w:val="24"/>
          <w:highlight w:val="none"/>
        </w:rPr>
        <w:t>6.2.</w:t>
      </w:r>
      <w:r>
        <w:rPr>
          <w:rFonts w:hint="eastAsia" w:ascii="Times New Roman" w:hAnsi="Times New Roman"/>
          <w:b/>
          <w:color w:val="auto"/>
          <w:sz w:val="24"/>
          <w:szCs w:val="24"/>
          <w:highlight w:val="none"/>
          <w:lang w:val="en-US" w:eastAsia="zh-CN"/>
        </w:rPr>
        <w:t>8</w:t>
      </w:r>
      <w:r>
        <w:rPr>
          <w:rFonts w:ascii="Times New Roman" w:hAnsi="Times New Roman"/>
          <w:b/>
          <w:color w:val="auto"/>
          <w:sz w:val="24"/>
          <w:szCs w:val="24"/>
          <w:highlight w:val="none"/>
        </w:rPr>
        <w:t xml:space="preserve"> </w:t>
      </w:r>
      <w:r>
        <w:rPr>
          <w:rFonts w:hint="eastAsia" w:ascii="Times New Roman" w:hAnsi="Times New Roman"/>
          <w:color w:val="auto"/>
          <w:sz w:val="24"/>
          <w:szCs w:val="24"/>
          <w:highlight w:val="none"/>
        </w:rPr>
        <w:t>内保温系统接缝处理应符合下列规定：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Times New Roman" w:hAnsi="Times New Roman"/>
          <w:color w:val="auto"/>
          <w:sz w:val="24"/>
          <w:szCs w:val="24"/>
          <w:highlight w:val="none"/>
        </w:rPr>
      </w:pPr>
      <w:r>
        <w:rPr>
          <w:rFonts w:ascii="Times New Roman" w:hAnsi="Times New Roman"/>
          <w:bCs/>
          <w:color w:val="auto"/>
          <w:sz w:val="24"/>
          <w:szCs w:val="24"/>
          <w:highlight w:val="none"/>
        </w:rPr>
        <w:t>1</w:t>
      </w:r>
      <w:r>
        <w:rPr>
          <w:rFonts w:hint="eastAsia" w:asciiTheme="minorEastAsia" w:hAnsiTheme="minorEastAsia" w:eastAsiaTheme="minorEastAsia" w:cstheme="minorEastAsia"/>
          <w:b w:val="0"/>
          <w:bCs/>
          <w:color w:val="auto"/>
          <w:sz w:val="24"/>
          <w:szCs w:val="24"/>
          <w:highlight w:val="none"/>
          <w:lang w:val="en-US" w:eastAsia="zh-CN"/>
        </w:rPr>
        <w:t>锚栓安装完毕后应</w:t>
      </w:r>
      <w:r>
        <w:rPr>
          <w:rFonts w:hint="eastAsia" w:ascii="Times New Roman" w:hAnsi="Times New Roman"/>
          <w:color w:val="auto"/>
          <w:sz w:val="24"/>
          <w:szCs w:val="24"/>
          <w:highlight w:val="none"/>
        </w:rPr>
        <w:t>检查拼缝和接缝板间的平整度，清洁板缝的污染物</w:t>
      </w:r>
      <w:r>
        <w:rPr>
          <w:rFonts w:hint="eastAsia" w:ascii="Times New Roman" w:hAnsi="Times New Roman"/>
          <w:color w:val="auto"/>
          <w:sz w:val="24"/>
          <w:szCs w:val="24"/>
          <w:highlight w:val="none"/>
          <w:lang w:val="en-US" w:eastAsia="zh-CN"/>
        </w:rPr>
        <w:t>后</w:t>
      </w:r>
      <w:r>
        <w:rPr>
          <w:rFonts w:hint="eastAsia" w:ascii="Times New Roman" w:hAnsi="Times New Roman"/>
          <w:color w:val="auto"/>
          <w:sz w:val="24"/>
          <w:szCs w:val="24"/>
          <w:highlight w:val="none"/>
        </w:rPr>
        <w:t>进行接缝处理。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Times New Roman" w:hAnsi="Times New Roman"/>
          <w:color w:val="auto"/>
          <w:sz w:val="24"/>
          <w:szCs w:val="24"/>
          <w:highlight w:val="none"/>
        </w:rPr>
      </w:pPr>
      <w:r>
        <w:rPr>
          <w:rFonts w:ascii="Times New Roman" w:hAnsi="Times New Roman"/>
          <w:bCs/>
          <w:color w:val="auto"/>
          <w:sz w:val="24"/>
          <w:szCs w:val="24"/>
          <w:highlight w:val="none"/>
        </w:rPr>
        <w:t>2</w:t>
      </w:r>
      <w:r>
        <w:rPr>
          <w:rFonts w:hint="eastAsia" w:ascii="Times New Roman" w:hAnsi="Times New Roman"/>
          <w:color w:val="auto"/>
          <w:sz w:val="24"/>
          <w:szCs w:val="24"/>
          <w:highlight w:val="none"/>
        </w:rPr>
        <w:t>按产品说明书的规定拌制嵌缝膏，</w:t>
      </w:r>
      <w:r>
        <w:rPr>
          <w:rFonts w:hint="eastAsia" w:ascii="Times New Roman" w:hAnsi="Times New Roman"/>
          <w:color w:val="auto"/>
          <w:sz w:val="24"/>
          <w:szCs w:val="24"/>
          <w:highlight w:val="none"/>
          <w:lang w:val="en-US" w:eastAsia="zh-CN"/>
        </w:rPr>
        <w:t>一次配置量应在</w:t>
      </w:r>
      <w:r>
        <w:rPr>
          <w:rFonts w:ascii="Times New Roman" w:hAnsi="Times New Roman"/>
          <w:color w:val="auto"/>
          <w:sz w:val="24"/>
          <w:szCs w:val="24"/>
          <w:highlight w:val="none"/>
        </w:rPr>
        <w:t>30min</w:t>
      </w:r>
      <w:r>
        <w:rPr>
          <w:rFonts w:hint="eastAsia" w:ascii="Times New Roman" w:hAnsi="Times New Roman"/>
          <w:color w:val="auto"/>
          <w:sz w:val="24"/>
          <w:szCs w:val="24"/>
          <w:highlight w:val="none"/>
        </w:rPr>
        <w:t>内用完，</w:t>
      </w:r>
      <w:r>
        <w:rPr>
          <w:rFonts w:hint="eastAsia" w:asciiTheme="minorEastAsia" w:hAnsiTheme="minorEastAsia" w:eastAsiaTheme="minorEastAsia" w:cstheme="minorEastAsia"/>
          <w:b w:val="0"/>
          <w:bCs/>
          <w:color w:val="auto"/>
          <w:sz w:val="24"/>
          <w:szCs w:val="24"/>
          <w:highlight w:val="none"/>
          <w:lang w:val="en-US" w:eastAsia="zh-CN"/>
        </w:rPr>
        <w:t>严禁二次加水搅拌后继续使用</w:t>
      </w:r>
      <w:r>
        <w:rPr>
          <w:rFonts w:hint="eastAsia" w:ascii="Times New Roman" w:hAnsi="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lang w:val="en-US" w:eastAsia="zh-CN"/>
        </w:rPr>
        <w:t>3嵌缝石膏应填满板缝、压实，并应批刮抹平在缝两侧复合板上，宽度比接缝纸带单边宽度不应少于10mnm。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Times New Roman" w:hAnsi="Times New Roman"/>
          <w:color w:val="auto"/>
          <w:sz w:val="24"/>
          <w:szCs w:val="24"/>
          <w:highlight w:val="none"/>
        </w:rPr>
      </w:pPr>
      <w:r>
        <w:rPr>
          <w:rFonts w:hint="eastAsia" w:asciiTheme="minorEastAsia" w:hAnsiTheme="minorEastAsia" w:eastAsiaTheme="minorEastAsia" w:cstheme="minorEastAsia"/>
          <w:b w:val="0"/>
          <w:bCs/>
          <w:color w:val="auto"/>
          <w:sz w:val="24"/>
          <w:szCs w:val="24"/>
          <w:highlight w:val="none"/>
          <w:lang w:val="en-US" w:eastAsia="zh-CN"/>
        </w:rPr>
        <w:t>4平缝应采用双层接缝纸带。应以接缝纸带毛面为粘贴面，接缝纸带中线和复合板板缝中线重合;第一层接缝纸带宽度应为50mm，压人第一层嵌缝石膏中，并应抹刮压实;第二层接缝纸带宽度应为100mm，压人第二层嵌缝石膏中，并应抹刮压实。接缝纸带应平整，中间不得有气泡</w:t>
      </w:r>
      <w:r>
        <w:rPr>
          <w:rFonts w:hint="eastAsia" w:ascii="Times New Roman" w:hAnsi="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Times New Roman" w:hAnsi="Times New Roman"/>
          <w:color w:val="auto"/>
          <w:sz w:val="24"/>
          <w:szCs w:val="24"/>
          <w:highlight w:val="none"/>
        </w:rPr>
      </w:pPr>
      <w:r>
        <w:rPr>
          <w:rFonts w:hint="eastAsia" w:asciiTheme="minorEastAsia" w:hAnsiTheme="minorEastAsia" w:eastAsiaTheme="minorEastAsia" w:cstheme="minorEastAsia"/>
          <w:b w:val="0"/>
          <w:bCs/>
          <w:color w:val="auto"/>
          <w:sz w:val="24"/>
          <w:szCs w:val="24"/>
          <w:highlight w:val="none"/>
          <w:lang w:val="en-US" w:eastAsia="zh-CN"/>
        </w:rPr>
        <w:t>5阴角和阳角接缝采用的接缝纸带或金属护角纸带，应将纸带中线对折后使用。</w:t>
      </w:r>
      <w:r>
        <w:rPr>
          <w:rFonts w:ascii="Times New Roman" w:hAnsi="Times New Roman"/>
          <w:b/>
          <w:color w:val="auto"/>
          <w:sz w:val="24"/>
          <w:szCs w:val="24"/>
          <w:highlight w:val="none"/>
        </w:rPr>
        <w:t>6.2.</w:t>
      </w:r>
      <w:r>
        <w:rPr>
          <w:rFonts w:hint="eastAsia" w:ascii="Times New Roman" w:hAnsi="Times New Roman"/>
          <w:b/>
          <w:color w:val="auto"/>
          <w:sz w:val="24"/>
          <w:szCs w:val="24"/>
          <w:highlight w:val="none"/>
          <w:lang w:val="en-US" w:eastAsia="zh-CN"/>
        </w:rPr>
        <w:t xml:space="preserve">9 </w:t>
      </w:r>
      <w:r>
        <w:rPr>
          <w:rFonts w:hint="eastAsia" w:ascii="Times New Roman" w:hAnsi="Times New Roman"/>
          <w:color w:val="auto"/>
          <w:sz w:val="24"/>
          <w:szCs w:val="24"/>
          <w:highlight w:val="none"/>
        </w:rPr>
        <w:t>待嵌缝膏完全干燥凝固后，用</w:t>
      </w:r>
      <w:r>
        <w:rPr>
          <w:rFonts w:ascii="Times New Roman" w:hAnsi="Times New Roman"/>
          <w:color w:val="auto"/>
          <w:sz w:val="24"/>
          <w:szCs w:val="24"/>
          <w:highlight w:val="none"/>
        </w:rPr>
        <w:t>120#</w:t>
      </w:r>
      <w:r>
        <w:rPr>
          <w:rFonts w:hint="eastAsia" w:ascii="Times New Roman" w:hAnsi="Times New Roman"/>
          <w:color w:val="auto"/>
          <w:sz w:val="24"/>
          <w:szCs w:val="24"/>
          <w:highlight w:val="none"/>
        </w:rPr>
        <w:t>砂纸打磨平整，保证墙面整体平整，阴阳角、孔洞顺直。</w:t>
      </w:r>
    </w:p>
    <w:p>
      <w:pPr>
        <w:spacing w:line="360" w:lineRule="auto"/>
        <w:outlineLvl w:val="2"/>
        <w:rPr>
          <w:rFonts w:ascii="Times New Roman" w:hAnsi="Times New Roman"/>
          <w:color w:val="auto"/>
          <w:sz w:val="24"/>
          <w:szCs w:val="24"/>
          <w:highlight w:val="none"/>
        </w:rPr>
      </w:pPr>
      <w:r>
        <w:rPr>
          <w:rFonts w:ascii="Times New Roman" w:hAnsi="Times New Roman"/>
          <w:b/>
          <w:color w:val="auto"/>
          <w:sz w:val="24"/>
          <w:szCs w:val="24"/>
          <w:highlight w:val="none"/>
        </w:rPr>
        <w:t>6.2.</w:t>
      </w:r>
      <w:r>
        <w:rPr>
          <w:rFonts w:hint="eastAsia" w:ascii="Times New Roman" w:hAnsi="Times New Roman"/>
          <w:b/>
          <w:color w:val="auto"/>
          <w:sz w:val="24"/>
          <w:szCs w:val="24"/>
          <w:highlight w:val="none"/>
          <w:lang w:val="en-US" w:eastAsia="zh-CN"/>
        </w:rPr>
        <w:t xml:space="preserve">10 </w:t>
      </w:r>
      <w:r>
        <w:rPr>
          <w:rFonts w:hint="eastAsia" w:ascii="Times New Roman" w:hAnsi="Times New Roman"/>
          <w:color w:val="auto"/>
          <w:sz w:val="24"/>
          <w:szCs w:val="24"/>
          <w:highlight w:val="none"/>
        </w:rPr>
        <w:t>细部构造处理应符合下列规定：</w:t>
      </w:r>
    </w:p>
    <w:p>
      <w:pPr>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1</w:t>
      </w:r>
      <w:r>
        <w:rPr>
          <w:rFonts w:hint="eastAsia" w:ascii="Times New Roman" w:hAnsi="Times New Roman"/>
          <w:color w:val="auto"/>
          <w:sz w:val="24"/>
          <w:szCs w:val="24"/>
          <w:highlight w:val="none"/>
        </w:rPr>
        <w:t>根据线盒、开关、洞口等位置，算准尺寸，用开孔锯开孔，禁止安装好后再进行开洞打眼。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Times New Roman" w:hAnsi="Times New Roman"/>
          <w:color w:val="auto"/>
          <w:sz w:val="24"/>
          <w:szCs w:val="24"/>
          <w:highlight w:val="none"/>
        </w:rPr>
      </w:pPr>
      <w:r>
        <w:rPr>
          <w:rFonts w:ascii="Times New Roman" w:hAnsi="Times New Roman"/>
          <w:color w:val="auto"/>
          <w:sz w:val="24"/>
          <w:szCs w:val="24"/>
          <w:highlight w:val="none"/>
        </w:rPr>
        <w:t>2</w:t>
      </w:r>
      <w:r>
        <w:rPr>
          <w:rFonts w:hint="eastAsia" w:ascii="Times New Roman" w:hAnsi="Times New Roman"/>
          <w:color w:val="auto"/>
          <w:sz w:val="24"/>
          <w:szCs w:val="24"/>
          <w:highlight w:val="none"/>
        </w:rPr>
        <w:t>洞口四周应满刮宽</w:t>
      </w:r>
      <w:r>
        <w:rPr>
          <w:rFonts w:ascii="Times New Roman" w:hAnsi="Times New Roman"/>
          <w:color w:val="auto"/>
          <w:sz w:val="24"/>
          <w:szCs w:val="24"/>
          <w:highlight w:val="none"/>
        </w:rPr>
        <w:t>50mm</w:t>
      </w:r>
      <w:r>
        <w:rPr>
          <w:rFonts w:hint="eastAsia" w:ascii="Times New Roman" w:hAnsi="Times New Roman"/>
          <w:color w:val="auto"/>
          <w:sz w:val="24"/>
          <w:szCs w:val="24"/>
          <w:highlight w:val="none"/>
        </w:rPr>
        <w:t>，厚</w:t>
      </w:r>
      <w:r>
        <w:rPr>
          <w:rFonts w:ascii="Times New Roman" w:hAnsi="Times New Roman"/>
          <w:color w:val="auto"/>
          <w:sz w:val="24"/>
          <w:szCs w:val="24"/>
          <w:highlight w:val="none"/>
        </w:rPr>
        <w:t>20mm</w:t>
      </w:r>
      <w:r>
        <w:rPr>
          <w:rFonts w:hint="eastAsia" w:ascii="Times New Roman" w:hAnsi="Times New Roman"/>
          <w:color w:val="auto"/>
          <w:sz w:val="24"/>
          <w:szCs w:val="24"/>
          <w:highlight w:val="none"/>
        </w:rPr>
        <w:t>胶粘剂，填充密实。</w:t>
      </w:r>
    </w:p>
    <w:p>
      <w:pPr>
        <w:spacing w:line="360" w:lineRule="auto"/>
        <w:outlineLvl w:val="2"/>
        <w:rPr>
          <w:rFonts w:ascii="Times New Roman" w:hAnsi="Times New Roman"/>
          <w:color w:val="auto"/>
          <w:sz w:val="24"/>
          <w:szCs w:val="24"/>
          <w:highlight w:val="none"/>
        </w:rPr>
      </w:pPr>
      <w:r>
        <w:rPr>
          <w:rFonts w:ascii="Times New Roman" w:hAnsi="Times New Roman"/>
          <w:b/>
          <w:color w:val="auto"/>
          <w:sz w:val="24"/>
          <w:szCs w:val="24"/>
          <w:highlight w:val="none"/>
        </w:rPr>
        <w:t>6.2.1</w:t>
      </w:r>
      <w:r>
        <w:rPr>
          <w:rFonts w:hint="eastAsia" w:ascii="Times New Roman" w:hAnsi="Times New Roman"/>
          <w:b/>
          <w:color w:val="auto"/>
          <w:sz w:val="24"/>
          <w:szCs w:val="24"/>
          <w:highlight w:val="none"/>
          <w:lang w:val="en-US" w:eastAsia="zh-CN"/>
        </w:rPr>
        <w:t xml:space="preserve">1 </w:t>
      </w:r>
      <w:r>
        <w:rPr>
          <w:rFonts w:hint="eastAsia" w:ascii="Times New Roman" w:hAnsi="Times New Roman"/>
          <w:color w:val="auto"/>
          <w:sz w:val="24"/>
          <w:szCs w:val="24"/>
          <w:highlight w:val="none"/>
        </w:rPr>
        <w:t>成品保护应符合以下规定：</w:t>
      </w:r>
    </w:p>
    <w:p>
      <w:pPr>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1</w:t>
      </w:r>
      <w:r>
        <w:rPr>
          <w:rFonts w:hint="eastAsia" w:ascii="Times New Roman" w:hAnsi="Times New Roman"/>
          <w:color w:val="auto"/>
          <w:sz w:val="24"/>
          <w:szCs w:val="24"/>
          <w:highlight w:val="none"/>
        </w:rPr>
        <w:t>不得在墙上进行电焊、气焊操作，不得用重物碰撞、挤靠墙壁。</w:t>
      </w:r>
    </w:p>
    <w:p>
      <w:pPr>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2</w:t>
      </w:r>
      <w:r>
        <w:rPr>
          <w:rFonts w:hint="eastAsia" w:ascii="Times New Roman" w:hAnsi="Times New Roman"/>
          <w:color w:val="auto"/>
          <w:sz w:val="24"/>
          <w:szCs w:val="24"/>
          <w:highlight w:val="none"/>
        </w:rPr>
        <w:t>施工用水和设备试水等，必须采取有效措施，防止墙面受潮和污染。</w:t>
      </w:r>
    </w:p>
    <w:p>
      <w:pPr>
        <w:spacing w:line="360" w:lineRule="auto"/>
        <w:ind w:firstLine="480" w:firstLineChars="200"/>
        <w:rPr>
          <w:rFonts w:hint="eastAsia" w:ascii="Times New Roman" w:hAnsi="Times New Roman"/>
          <w:color w:val="auto"/>
          <w:sz w:val="24"/>
          <w:szCs w:val="24"/>
          <w:highlight w:val="none"/>
        </w:rPr>
      </w:pPr>
      <w:r>
        <w:rPr>
          <w:rFonts w:ascii="Times New Roman" w:hAnsi="Times New Roman"/>
          <w:color w:val="auto"/>
          <w:sz w:val="24"/>
          <w:szCs w:val="24"/>
          <w:highlight w:val="none"/>
        </w:rPr>
        <w:t>3</w:t>
      </w:r>
      <w:r>
        <w:rPr>
          <w:rFonts w:hint="eastAsia" w:ascii="Times New Roman" w:hAnsi="Times New Roman"/>
          <w:color w:val="auto"/>
          <w:sz w:val="24"/>
          <w:szCs w:val="24"/>
          <w:highlight w:val="none"/>
        </w:rPr>
        <w:t>人员易碰撞的部位应设置保护措施。</w:t>
      </w:r>
    </w:p>
    <w:p>
      <w:pPr>
        <w:pStyle w:val="5"/>
        <w:bidi w:val="0"/>
        <w:rPr>
          <w:color w:val="auto"/>
          <w:highlight w:val="none"/>
        </w:rPr>
      </w:pPr>
      <w:bookmarkStart w:id="249" w:name="_Toc4955"/>
      <w:r>
        <w:rPr>
          <w:color w:val="auto"/>
          <w:highlight w:val="none"/>
        </w:rPr>
        <w:t>6.</w:t>
      </w:r>
      <w:r>
        <w:rPr>
          <w:rFonts w:hint="eastAsia"/>
          <w:color w:val="auto"/>
          <w:highlight w:val="none"/>
          <w:lang w:val="en-US" w:eastAsia="zh-CN"/>
        </w:rPr>
        <w:t>3</w:t>
      </w:r>
      <w:r>
        <w:rPr>
          <w:color w:val="auto"/>
          <w:highlight w:val="none"/>
        </w:rPr>
        <w:t xml:space="preserve">  </w:t>
      </w:r>
      <w:r>
        <w:rPr>
          <w:rFonts w:hint="eastAsia"/>
          <w:color w:val="auto"/>
          <w:highlight w:val="none"/>
        </w:rPr>
        <w:t>施工</w:t>
      </w:r>
      <w:r>
        <w:rPr>
          <w:rFonts w:hint="eastAsia"/>
          <w:color w:val="auto"/>
          <w:highlight w:val="none"/>
          <w:lang w:val="en-US" w:eastAsia="zh-CN"/>
        </w:rPr>
        <w:t>安全</w:t>
      </w:r>
      <w:bookmarkEnd w:id="249"/>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ascii="Times New Roman" w:hAnsi="Times New Roman"/>
          <w:color w:val="auto"/>
          <w:sz w:val="24"/>
          <w:szCs w:val="24"/>
          <w:highlight w:val="none"/>
        </w:rPr>
      </w:pPr>
      <w:r>
        <w:rPr>
          <w:rFonts w:ascii="Times New Roman" w:hAnsi="Times New Roman"/>
          <w:b/>
          <w:color w:val="auto"/>
          <w:sz w:val="24"/>
          <w:szCs w:val="24"/>
          <w:highlight w:val="none"/>
        </w:rPr>
        <w:t>6.</w:t>
      </w:r>
      <w:r>
        <w:rPr>
          <w:rFonts w:hint="eastAsia" w:ascii="Times New Roman" w:hAnsi="Times New Roman"/>
          <w:b/>
          <w:color w:val="auto"/>
          <w:sz w:val="24"/>
          <w:szCs w:val="24"/>
          <w:highlight w:val="none"/>
          <w:lang w:val="en-US" w:eastAsia="zh-CN"/>
        </w:rPr>
        <w:t>3</w:t>
      </w:r>
      <w:r>
        <w:rPr>
          <w:rFonts w:ascii="Times New Roman" w:hAnsi="Times New Roman"/>
          <w:b/>
          <w:color w:val="auto"/>
          <w:sz w:val="24"/>
          <w:szCs w:val="24"/>
          <w:highlight w:val="none"/>
        </w:rPr>
        <w:t>.</w:t>
      </w:r>
      <w:r>
        <w:rPr>
          <w:rFonts w:hint="eastAsia" w:ascii="Times New Roman" w:hAnsi="Times New Roman"/>
          <w:b/>
          <w:color w:val="auto"/>
          <w:sz w:val="24"/>
          <w:szCs w:val="24"/>
          <w:highlight w:val="none"/>
          <w:lang w:val="en-US" w:eastAsia="zh-CN"/>
        </w:rPr>
        <w:t>1</w:t>
      </w:r>
      <w:r>
        <w:rPr>
          <w:rFonts w:ascii="Times New Roman" w:hAnsi="Times New Roman"/>
          <w:b/>
          <w:color w:val="auto"/>
          <w:sz w:val="24"/>
          <w:szCs w:val="24"/>
          <w:highlight w:val="none"/>
        </w:rPr>
        <w:t xml:space="preserve"> </w:t>
      </w:r>
      <w:r>
        <w:rPr>
          <w:rFonts w:hint="eastAsia" w:ascii="Times New Roman" w:hAnsi="Times New Roman"/>
          <w:color w:val="auto"/>
          <w:sz w:val="24"/>
          <w:szCs w:val="24"/>
          <w:highlight w:val="none"/>
        </w:rPr>
        <w:t>内保温系统工程施工现场应采取可靠的防火安全措施，并应符合下列规定：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Times New Roman" w:hAnsi="Times New Roman"/>
          <w:color w:val="auto"/>
          <w:sz w:val="24"/>
          <w:szCs w:val="24"/>
          <w:highlight w:val="none"/>
        </w:rPr>
      </w:pPr>
      <w:r>
        <w:rPr>
          <w:rFonts w:ascii="Times New Roman" w:hAnsi="Times New Roman"/>
          <w:color w:val="auto"/>
          <w:sz w:val="24"/>
          <w:szCs w:val="24"/>
          <w:highlight w:val="none"/>
        </w:rPr>
        <w:t>1</w:t>
      </w:r>
      <w:r>
        <w:rPr>
          <w:rFonts w:hint="eastAsia" w:ascii="Times New Roman" w:hAnsi="Times New Roman"/>
          <w:color w:val="auto"/>
          <w:sz w:val="24"/>
          <w:szCs w:val="24"/>
          <w:highlight w:val="none"/>
        </w:rPr>
        <w:t>施工作业区域，严禁明火作业。</w:t>
      </w:r>
    </w:p>
    <w:p>
      <w:pPr>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2</w:t>
      </w:r>
      <w:r>
        <w:rPr>
          <w:rFonts w:hint="eastAsia" w:ascii="Times New Roman" w:hAnsi="Times New Roman"/>
          <w:color w:val="auto"/>
          <w:sz w:val="24"/>
          <w:szCs w:val="24"/>
          <w:highlight w:val="none"/>
        </w:rPr>
        <w:t>施工现场灭火器的配置和消防给水系统，应符合现行国家标准《建设工程施工现场消防安全技术规范》</w:t>
      </w:r>
      <w:r>
        <w:rPr>
          <w:rFonts w:ascii="Times New Roman" w:hAnsi="Times New Roman"/>
          <w:color w:val="auto"/>
          <w:sz w:val="24"/>
          <w:szCs w:val="24"/>
          <w:highlight w:val="none"/>
        </w:rPr>
        <w:t>GB 50720</w:t>
      </w:r>
      <w:r>
        <w:rPr>
          <w:rFonts w:hint="eastAsia" w:ascii="Times New Roman" w:hAnsi="Times New Roman"/>
          <w:color w:val="auto"/>
          <w:sz w:val="24"/>
          <w:szCs w:val="24"/>
          <w:highlight w:val="none"/>
        </w:rPr>
        <w:t>的规定。</w:t>
      </w:r>
    </w:p>
    <w:p>
      <w:pPr>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4</w:t>
      </w:r>
      <w:r>
        <w:rPr>
          <w:rFonts w:hint="eastAsia" w:ascii="Times New Roman" w:hAnsi="Times New Roman"/>
          <w:color w:val="auto"/>
          <w:sz w:val="24"/>
          <w:szCs w:val="24"/>
          <w:highlight w:val="none"/>
        </w:rPr>
        <w:t>施工用照明灯高温设备靠近保温材料时，应采取可靠的防火措施。</w:t>
      </w:r>
    </w:p>
    <w:p>
      <w:pPr>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5</w:t>
      </w:r>
      <w:r>
        <w:rPr>
          <w:rFonts w:hint="eastAsia" w:ascii="Times New Roman" w:hAnsi="Times New Roman"/>
          <w:color w:val="auto"/>
          <w:sz w:val="24"/>
          <w:szCs w:val="24"/>
          <w:highlight w:val="none"/>
        </w:rPr>
        <w:t>当施工电器线路采取暗敷设时，应敷设在不燃烧体结构内，且其保护层厚度不应小于</w:t>
      </w:r>
      <w:r>
        <w:rPr>
          <w:rFonts w:ascii="Times New Roman" w:hAnsi="Times New Roman"/>
          <w:color w:val="auto"/>
          <w:sz w:val="24"/>
          <w:szCs w:val="24"/>
          <w:highlight w:val="none"/>
        </w:rPr>
        <w:t>30mm</w:t>
      </w:r>
      <w:r>
        <w:rPr>
          <w:rFonts w:hint="eastAsia" w:ascii="Times New Roman" w:hAnsi="Times New Roman"/>
          <w:color w:val="auto"/>
          <w:sz w:val="24"/>
          <w:szCs w:val="24"/>
          <w:highlight w:val="none"/>
        </w:rPr>
        <w:t>；当采用明敷设时，应穿金属管、阻燃套管或封闭式阻燃线槽。</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eastAsia" w:ascii="Times New Roman" w:hAnsi="Times New Roman"/>
          <w:color w:val="auto"/>
          <w:sz w:val="24"/>
          <w:szCs w:val="24"/>
          <w:highlight w:val="none"/>
        </w:rPr>
      </w:pPr>
      <w:r>
        <w:rPr>
          <w:rFonts w:hint="eastAsia" w:ascii="Times New Roman" w:hAnsi="Times New Roman"/>
          <w:color w:val="auto"/>
          <w:sz w:val="24"/>
          <w:szCs w:val="24"/>
          <w:highlight w:val="none"/>
          <w:lang w:val="en-US" w:eastAsia="zh-CN"/>
        </w:rPr>
        <w:t>6.3.2</w:t>
      </w:r>
      <w:r>
        <w:rPr>
          <w:rFonts w:ascii="Times New Roman" w:hAnsi="Times New Roman"/>
          <w:color w:val="auto"/>
          <w:sz w:val="24"/>
          <w:szCs w:val="24"/>
          <w:highlight w:val="none"/>
        </w:rPr>
        <w:t xml:space="preserve"> </w:t>
      </w:r>
      <w:r>
        <w:rPr>
          <w:rFonts w:hint="eastAsia" w:ascii="Times New Roman" w:hAnsi="Times New Roman"/>
          <w:color w:val="auto"/>
          <w:sz w:val="24"/>
          <w:szCs w:val="24"/>
          <w:highlight w:val="none"/>
        </w:rPr>
        <w:t>对材料的存放和保护，应采取符合消防要求的措施</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lang w:val="en-US" w:eastAsia="zh-CN"/>
        </w:rPr>
        <w:t>并符合下列规定∶</w:t>
      </w:r>
    </w:p>
    <w:p>
      <w:pPr>
        <w:spacing w:line="360" w:lineRule="auto"/>
        <w:ind w:firstLine="480" w:firstLineChars="200"/>
        <w:rPr>
          <w:rFonts w:hint="eastAsia" w:ascii="Times New Roman" w:hAnsi="Times New Roman"/>
          <w:color w:val="auto"/>
          <w:sz w:val="24"/>
          <w:szCs w:val="24"/>
          <w:highlight w:val="none"/>
        </w:rPr>
      </w:pPr>
      <w:r>
        <w:rPr>
          <w:rFonts w:hint="eastAsia" w:ascii="Times New Roman" w:hAnsi="Times New Roman"/>
          <w:color w:val="auto"/>
          <w:sz w:val="24"/>
          <w:szCs w:val="24"/>
          <w:highlight w:val="none"/>
          <w:lang w:val="en-US" w:eastAsia="zh-CN"/>
        </w:rPr>
        <w:t>1堆放场地四周应由不燃材料围档。</w:t>
      </w:r>
    </w:p>
    <w:p>
      <w:pPr>
        <w:spacing w:line="360" w:lineRule="auto"/>
        <w:ind w:firstLine="480" w:firstLineChars="200"/>
        <w:rPr>
          <w:rFonts w:hint="eastAsia" w:ascii="Times New Roman" w:hAnsi="Times New Roman"/>
          <w:color w:val="auto"/>
          <w:sz w:val="24"/>
          <w:szCs w:val="24"/>
          <w:highlight w:val="none"/>
        </w:rPr>
      </w:pPr>
      <w:r>
        <w:rPr>
          <w:rFonts w:hint="eastAsia" w:ascii="Times New Roman" w:hAnsi="Times New Roman"/>
          <w:color w:val="auto"/>
          <w:sz w:val="24"/>
          <w:szCs w:val="24"/>
          <w:highlight w:val="none"/>
          <w:lang w:val="en-US" w:eastAsia="zh-CN"/>
        </w:rPr>
        <w:t>2堆放场地应为禁火区域，并应有显著标识，其周围不得有明火作业。</w:t>
      </w:r>
    </w:p>
    <w:p>
      <w:pPr>
        <w:spacing w:line="360" w:lineRule="auto"/>
        <w:ind w:firstLine="480" w:firstLineChars="200"/>
        <w:rPr>
          <w:rFonts w:hint="eastAsia" w:ascii="Times New Roman" w:hAnsi="Times New Roman"/>
          <w:color w:val="auto"/>
          <w:sz w:val="24"/>
          <w:szCs w:val="24"/>
          <w:highlight w:val="none"/>
        </w:rPr>
      </w:pPr>
      <w:r>
        <w:rPr>
          <w:rFonts w:hint="eastAsia" w:ascii="Times New Roman" w:hAnsi="Times New Roman"/>
          <w:color w:val="auto"/>
          <w:sz w:val="24"/>
          <w:szCs w:val="24"/>
          <w:highlight w:val="none"/>
          <w:lang w:val="en-US" w:eastAsia="zh-CN"/>
        </w:rPr>
        <w:t>3堆放场地附近不得放置易燃、易爆等危险物品。</w:t>
      </w:r>
    </w:p>
    <w:p>
      <w:pPr>
        <w:spacing w:line="360" w:lineRule="auto"/>
        <w:ind w:firstLine="480" w:firstLineChars="200"/>
        <w:rPr>
          <w:rFonts w:hint="eastAsia" w:ascii="Times New Roman" w:hAnsi="Times New Roman"/>
          <w:color w:val="auto"/>
          <w:sz w:val="24"/>
          <w:szCs w:val="24"/>
          <w:highlight w:val="none"/>
        </w:rPr>
      </w:pPr>
      <w:r>
        <w:rPr>
          <w:rFonts w:hint="eastAsia" w:ascii="Times New Roman" w:hAnsi="Times New Roman"/>
          <w:color w:val="auto"/>
          <w:sz w:val="24"/>
          <w:szCs w:val="24"/>
          <w:highlight w:val="none"/>
          <w:lang w:val="en-US" w:eastAsia="zh-CN"/>
        </w:rPr>
        <w:t>4堆放场地应配备种类适宜的灭火器、砂箱或其他灭火器具。</w:t>
      </w:r>
    </w:p>
    <w:p>
      <w:pPr>
        <w:spacing w:line="360" w:lineRule="auto"/>
        <w:ind w:firstLine="480" w:firstLineChars="200"/>
        <w:rPr>
          <w:rFonts w:hint="eastAsia" w:ascii="Times New Roman" w:hAnsi="Times New Roman"/>
          <w:color w:val="auto"/>
          <w:sz w:val="24"/>
          <w:szCs w:val="24"/>
          <w:highlight w:val="none"/>
        </w:rPr>
      </w:pPr>
      <w:r>
        <w:rPr>
          <w:rFonts w:hint="eastAsia" w:ascii="Times New Roman" w:hAnsi="Times New Roman"/>
          <w:color w:val="auto"/>
          <w:sz w:val="24"/>
          <w:szCs w:val="24"/>
          <w:highlight w:val="none"/>
          <w:lang w:val="en-US" w:eastAsia="zh-CN"/>
        </w:rPr>
        <w:t>5堆放场地复合板的存放量不应超过3d的工程需用量，并应采用不燃性材料完全覆盖。</w:t>
      </w:r>
    </w:p>
    <w:p>
      <w:pPr>
        <w:spacing w:line="360" w:lineRule="auto"/>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【条文说明】</w:t>
      </w:r>
      <w:r>
        <w:rPr>
          <w:rFonts w:hint="eastAsia" w:ascii="楷体" w:hAnsi="楷体" w:eastAsia="楷体"/>
          <w:color w:val="auto"/>
          <w:sz w:val="24"/>
          <w:szCs w:val="24"/>
          <w:highlight w:val="none"/>
          <w:lang w:val="en-US" w:eastAsia="zh-CN"/>
        </w:rPr>
        <w:t>6.3.1-6.3.2内</w:t>
      </w:r>
      <w:r>
        <w:rPr>
          <w:rFonts w:hint="eastAsia" w:ascii="楷体" w:hAnsi="楷体" w:eastAsia="楷体"/>
          <w:color w:val="auto"/>
          <w:sz w:val="24"/>
          <w:szCs w:val="24"/>
          <w:highlight w:val="none"/>
        </w:rPr>
        <w:t>保温工程施工现场防火管理不严,导致火灾时有发生,为确保防火安全,本条对施工现场的防火措施怍出规定</w:t>
      </w:r>
      <w:r>
        <w:rPr>
          <w:rFonts w:hint="eastAsia" w:ascii="楷体" w:hAnsi="楷体" w:eastAsia="楷体"/>
          <w:color w:val="auto"/>
          <w:sz w:val="24"/>
          <w:szCs w:val="24"/>
          <w:highlight w:val="none"/>
          <w:lang w:eastAsia="zh-CN"/>
        </w:rPr>
        <w:t>，</w:t>
      </w:r>
      <w:r>
        <w:rPr>
          <w:rFonts w:hint="eastAsia" w:ascii="楷体" w:hAnsi="楷体" w:eastAsia="楷体"/>
          <w:color w:val="auto"/>
          <w:sz w:val="24"/>
          <w:szCs w:val="24"/>
          <w:highlight w:val="none"/>
          <w:lang w:val="en-US" w:eastAsia="zh-CN"/>
        </w:rPr>
        <w:t>系统现场及施工过程均应符合消防安全有关规定</w:t>
      </w:r>
      <w:r>
        <w:rPr>
          <w:rFonts w:hint="eastAsia" w:ascii="楷体" w:hAnsi="楷体" w:eastAsia="楷体"/>
          <w:color w:val="auto"/>
          <w:sz w:val="24"/>
          <w:szCs w:val="24"/>
          <w:highlight w:val="none"/>
        </w:rPr>
        <w:t>。</w:t>
      </w:r>
    </w:p>
    <w:p>
      <w:pPr>
        <w:spacing w:line="360" w:lineRule="auto"/>
        <w:outlineLvl w:val="2"/>
        <w:rPr>
          <w:rFonts w:ascii="Times New Roman" w:hAnsi="Times New Roman"/>
          <w:color w:val="auto"/>
          <w:sz w:val="24"/>
          <w:szCs w:val="24"/>
          <w:highlight w:val="none"/>
        </w:rPr>
      </w:pPr>
      <w:r>
        <w:rPr>
          <w:rFonts w:ascii="Times New Roman" w:hAnsi="Times New Roman"/>
          <w:b/>
          <w:color w:val="auto"/>
          <w:sz w:val="24"/>
          <w:szCs w:val="24"/>
          <w:highlight w:val="none"/>
        </w:rPr>
        <w:t>6.</w:t>
      </w:r>
      <w:r>
        <w:rPr>
          <w:rFonts w:hint="eastAsia" w:ascii="Times New Roman" w:hAnsi="Times New Roman"/>
          <w:b/>
          <w:color w:val="auto"/>
          <w:sz w:val="24"/>
          <w:szCs w:val="24"/>
          <w:highlight w:val="none"/>
          <w:lang w:val="en-US" w:eastAsia="zh-CN"/>
        </w:rPr>
        <w:t>3.3</w:t>
      </w:r>
      <w:r>
        <w:rPr>
          <w:rFonts w:ascii="Times New Roman" w:hAnsi="Times New Roman"/>
          <w:b/>
          <w:color w:val="auto"/>
          <w:sz w:val="24"/>
          <w:szCs w:val="24"/>
          <w:highlight w:val="none"/>
        </w:rPr>
        <w:t xml:space="preserve"> </w:t>
      </w:r>
      <w:r>
        <w:rPr>
          <w:rFonts w:hint="eastAsia" w:ascii="Times New Roman" w:hAnsi="Times New Roman"/>
          <w:color w:val="auto"/>
          <w:sz w:val="24"/>
          <w:szCs w:val="24"/>
          <w:highlight w:val="none"/>
        </w:rPr>
        <w:t>内保温系统工程施工应</w:t>
      </w:r>
      <w:r>
        <w:rPr>
          <w:rFonts w:hint="eastAsia" w:ascii="Times New Roman" w:hAnsi="Times New Roman"/>
          <w:color w:val="auto"/>
          <w:sz w:val="24"/>
          <w:highlight w:val="none"/>
        </w:rPr>
        <w:t>严格遵守安全施工相关规定，</w:t>
      </w:r>
      <w:r>
        <w:rPr>
          <w:rFonts w:hint="eastAsia" w:ascii="Times New Roman" w:hAnsi="Times New Roman"/>
          <w:color w:val="auto"/>
          <w:sz w:val="24"/>
          <w:szCs w:val="24"/>
          <w:highlight w:val="none"/>
        </w:rPr>
        <w:t>符合现行劳动保护法律、法规：</w:t>
      </w:r>
    </w:p>
    <w:p>
      <w:pPr>
        <w:spacing w:line="360" w:lineRule="auto"/>
        <w:ind w:firstLine="480" w:firstLineChars="200"/>
        <w:rPr>
          <w:rFonts w:ascii="Times New Roman" w:hAnsi="Times New Roman"/>
          <w:color w:val="auto"/>
          <w:sz w:val="24"/>
          <w:szCs w:val="24"/>
          <w:highlight w:val="none"/>
        </w:rPr>
      </w:pPr>
      <w:r>
        <w:rPr>
          <w:rFonts w:ascii="Times New Roman" w:hAnsi="Times New Roman"/>
          <w:bCs/>
          <w:color w:val="auto"/>
          <w:sz w:val="24"/>
          <w:szCs w:val="24"/>
          <w:highlight w:val="none"/>
        </w:rPr>
        <w:t>1</w:t>
      </w:r>
      <w:r>
        <w:rPr>
          <w:rFonts w:hint="eastAsia" w:ascii="Times New Roman" w:hAnsi="Times New Roman"/>
          <w:color w:val="auto"/>
          <w:sz w:val="24"/>
          <w:szCs w:val="24"/>
          <w:highlight w:val="none"/>
        </w:rPr>
        <w:t>按</w:t>
      </w:r>
      <w:r>
        <w:rPr>
          <w:rFonts w:hint="eastAsia" w:ascii="Times New Roman" w:hAnsi="Times New Roman"/>
          <w:color w:val="auto"/>
          <w:sz w:val="24"/>
          <w:szCs w:val="24"/>
          <w:highlight w:val="none"/>
          <w:lang w:val="en-US" w:eastAsia="zh-CN"/>
        </w:rPr>
        <w:t>施工方案和</w:t>
      </w:r>
      <w:r>
        <w:rPr>
          <w:rFonts w:hint="eastAsia" w:ascii="Times New Roman" w:hAnsi="Times New Roman"/>
          <w:color w:val="auto"/>
          <w:sz w:val="24"/>
          <w:szCs w:val="24"/>
          <w:highlight w:val="none"/>
        </w:rPr>
        <w:t>规范搭设操作平台，施工用脚手架</w:t>
      </w:r>
      <w:r>
        <w:rPr>
          <w:rFonts w:hint="eastAsia" w:ascii="Times New Roman" w:hAnsi="Times New Roman"/>
          <w:color w:val="auto"/>
          <w:sz w:val="24"/>
          <w:szCs w:val="24"/>
          <w:highlight w:val="none"/>
          <w:lang w:val="en-US" w:eastAsia="zh-CN"/>
        </w:rPr>
        <w:t>经</w:t>
      </w:r>
      <w:r>
        <w:rPr>
          <w:rFonts w:hint="eastAsia" w:ascii="Times New Roman" w:hAnsi="Times New Roman"/>
          <w:color w:val="auto"/>
          <w:sz w:val="24"/>
          <w:szCs w:val="24"/>
          <w:highlight w:val="none"/>
        </w:rPr>
        <w:t>安装安全检验合格，施工机具和劳防用品安全、可靠，并经检验和合格。</w:t>
      </w:r>
    </w:p>
    <w:p>
      <w:pPr>
        <w:spacing w:line="360" w:lineRule="auto"/>
        <w:ind w:firstLine="480" w:firstLineChars="200"/>
        <w:rPr>
          <w:rFonts w:hint="eastAsia" w:ascii="Times New Roman" w:hAnsi="Times New Roman"/>
          <w:color w:val="auto"/>
          <w:sz w:val="24"/>
          <w:szCs w:val="24"/>
          <w:highlight w:val="none"/>
        </w:rPr>
      </w:pPr>
      <w:r>
        <w:rPr>
          <w:rFonts w:ascii="Times New Roman" w:hAnsi="Times New Roman"/>
          <w:bCs/>
          <w:color w:val="auto"/>
          <w:sz w:val="24"/>
          <w:szCs w:val="24"/>
          <w:highlight w:val="none"/>
        </w:rPr>
        <w:t>2</w:t>
      </w:r>
      <w:r>
        <w:rPr>
          <w:rFonts w:hint="eastAsia" w:ascii="Times New Roman" w:hAnsi="Times New Roman"/>
          <w:color w:val="auto"/>
          <w:sz w:val="24"/>
          <w:szCs w:val="24"/>
          <w:highlight w:val="none"/>
        </w:rPr>
        <w:t>楼层周边、</w:t>
      </w:r>
      <w:r>
        <w:rPr>
          <w:rFonts w:hint="eastAsia" w:ascii="Times New Roman" w:hAnsi="Times New Roman"/>
          <w:bCs/>
          <w:color w:val="auto"/>
          <w:sz w:val="24"/>
          <w:szCs w:val="24"/>
          <w:highlight w:val="none"/>
          <w:lang w:val="en-US" w:eastAsia="zh-CN"/>
        </w:rPr>
        <w:t>楼层临空、</w:t>
      </w:r>
      <w:r>
        <w:rPr>
          <w:rFonts w:hint="eastAsia" w:ascii="Times New Roman" w:hAnsi="Times New Roman"/>
          <w:color w:val="auto"/>
          <w:sz w:val="24"/>
          <w:szCs w:val="24"/>
          <w:highlight w:val="none"/>
        </w:rPr>
        <w:t>门窗洞口和预留孔洞部位必须设置安全护栏和安全网或其它防止坠落的防护措施。</w:t>
      </w:r>
    </w:p>
    <w:p>
      <w:pPr>
        <w:spacing w:line="360" w:lineRule="auto"/>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【条文说明】</w:t>
      </w:r>
      <w:r>
        <w:rPr>
          <w:rFonts w:hint="eastAsia" w:ascii="楷体" w:hAnsi="楷体" w:eastAsia="楷体"/>
          <w:color w:val="auto"/>
          <w:sz w:val="24"/>
          <w:szCs w:val="24"/>
          <w:highlight w:val="none"/>
          <w:lang w:val="en-US" w:eastAsia="zh-CN"/>
        </w:rPr>
        <w:t>6.3.3内保温复合板系统在施工过程中，应采取可靠的安全防护措施，避免造成安全隐患。</w:t>
      </w:r>
    </w:p>
    <w:p>
      <w:pPr>
        <w:pStyle w:val="2"/>
        <w:rPr>
          <w:color w:val="auto"/>
          <w:highlight w:val="none"/>
        </w:rPr>
      </w:pPr>
    </w:p>
    <w:p>
      <w:pPr>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br w:type="page"/>
      </w:r>
    </w:p>
    <w:p>
      <w:pPr>
        <w:pStyle w:val="4"/>
        <w:bidi w:val="0"/>
        <w:rPr>
          <w:color w:val="auto"/>
          <w:highlight w:val="none"/>
        </w:rPr>
      </w:pPr>
      <w:bookmarkStart w:id="250" w:name="_Toc28545"/>
      <w:bookmarkStart w:id="251" w:name="_Toc5973"/>
      <w:bookmarkStart w:id="252" w:name="_Toc25856"/>
      <w:bookmarkStart w:id="253" w:name="_Toc17168"/>
      <w:bookmarkStart w:id="254" w:name="_Toc410028674"/>
      <w:bookmarkStart w:id="255" w:name="_Toc3164"/>
      <w:bookmarkStart w:id="256" w:name="_Toc430006761"/>
      <w:bookmarkStart w:id="257" w:name="_Toc10774"/>
      <w:r>
        <w:rPr>
          <w:rFonts w:hint="eastAsia"/>
          <w:color w:val="auto"/>
          <w:highlight w:val="none"/>
        </w:rPr>
        <w:t>7</w:t>
      </w:r>
      <w:r>
        <w:rPr>
          <w:color w:val="auto"/>
          <w:highlight w:val="none"/>
        </w:rPr>
        <w:t xml:space="preserve">  </w:t>
      </w:r>
      <w:r>
        <w:rPr>
          <w:rFonts w:hint="eastAsia"/>
          <w:color w:val="auto"/>
          <w:highlight w:val="none"/>
        </w:rPr>
        <w:t>验收</w:t>
      </w:r>
      <w:bookmarkEnd w:id="250"/>
    </w:p>
    <w:p>
      <w:pPr>
        <w:pStyle w:val="5"/>
        <w:bidi w:val="0"/>
        <w:rPr>
          <w:color w:val="auto"/>
          <w:highlight w:val="none"/>
        </w:rPr>
      </w:pPr>
      <w:bookmarkStart w:id="258" w:name="_Toc25099"/>
      <w:r>
        <w:rPr>
          <w:rFonts w:hint="eastAsia"/>
          <w:color w:val="auto"/>
          <w:highlight w:val="none"/>
        </w:rPr>
        <w:t>7.1</w:t>
      </w:r>
      <w:r>
        <w:rPr>
          <w:rFonts w:hint="eastAsia"/>
          <w:color w:val="auto"/>
          <w:highlight w:val="none"/>
          <w:lang w:val="en-US" w:eastAsia="zh-CN"/>
        </w:rPr>
        <w:t xml:space="preserve"> </w:t>
      </w:r>
      <w:r>
        <w:rPr>
          <w:rFonts w:hint="eastAsia"/>
          <w:color w:val="auto"/>
          <w:highlight w:val="none"/>
        </w:rPr>
        <w:t>一般规定</w:t>
      </w:r>
      <w:bookmarkEnd w:id="251"/>
      <w:bookmarkEnd w:id="252"/>
      <w:bookmarkEnd w:id="253"/>
      <w:bookmarkEnd w:id="254"/>
      <w:bookmarkEnd w:id="255"/>
      <w:bookmarkEnd w:id="256"/>
      <w:bookmarkEnd w:id="257"/>
      <w:bookmarkEnd w:id="258"/>
    </w:p>
    <w:p>
      <w:pPr>
        <w:spacing w:line="360" w:lineRule="auto"/>
        <w:outlineLvl w:val="2"/>
        <w:rPr>
          <w:rFonts w:ascii="Times New Roman" w:hAnsi="Times New Roman"/>
          <w:color w:val="auto"/>
          <w:sz w:val="24"/>
          <w:szCs w:val="24"/>
          <w:highlight w:val="none"/>
        </w:rPr>
      </w:pPr>
      <w:r>
        <w:rPr>
          <w:rFonts w:hint="eastAsia" w:ascii="Times New Roman" w:hAnsi="Times New Roman"/>
          <w:b/>
          <w:color w:val="auto"/>
          <w:sz w:val="24"/>
          <w:szCs w:val="24"/>
          <w:highlight w:val="none"/>
        </w:rPr>
        <w:t>7.1</w:t>
      </w:r>
      <w:r>
        <w:rPr>
          <w:rFonts w:ascii="Times New Roman" w:hAnsi="Times New Roman"/>
          <w:b/>
          <w:color w:val="auto"/>
          <w:sz w:val="24"/>
          <w:szCs w:val="24"/>
          <w:highlight w:val="none"/>
        </w:rPr>
        <w:t>.1</w:t>
      </w:r>
      <w:r>
        <w:rPr>
          <w:rFonts w:hint="eastAsia" w:ascii="Times New Roman" w:hAnsi="Times New Roman"/>
          <w:b/>
          <w:color w:val="auto"/>
          <w:sz w:val="24"/>
          <w:szCs w:val="24"/>
          <w:highlight w:val="none"/>
          <w:lang w:val="en-US" w:eastAsia="zh-CN"/>
        </w:rPr>
        <w:t xml:space="preserve"> </w:t>
      </w:r>
      <w:r>
        <w:rPr>
          <w:rFonts w:hint="eastAsia" w:ascii="Times New Roman" w:hAnsi="Times New Roman"/>
          <w:color w:val="auto"/>
          <w:sz w:val="24"/>
          <w:szCs w:val="24"/>
          <w:highlight w:val="none"/>
        </w:rPr>
        <w:t>内保温系统工程的验收应符合《建筑工程施工质量验收统一标准》</w:t>
      </w:r>
      <w:r>
        <w:rPr>
          <w:rFonts w:ascii="Times New Roman" w:hAnsi="Times New Roman"/>
          <w:color w:val="auto"/>
          <w:sz w:val="24"/>
          <w:szCs w:val="24"/>
          <w:highlight w:val="none"/>
        </w:rPr>
        <w:t>GB 50300</w:t>
      </w:r>
      <w:r>
        <w:rPr>
          <w:rFonts w:hint="eastAsia" w:ascii="Times New Roman" w:hAnsi="Times New Roman"/>
          <w:color w:val="auto"/>
          <w:sz w:val="24"/>
          <w:szCs w:val="24"/>
          <w:highlight w:val="none"/>
        </w:rPr>
        <w:t>、《建筑节能工程施工质量验收规范》</w:t>
      </w:r>
      <w:r>
        <w:rPr>
          <w:rFonts w:ascii="Times New Roman" w:hAnsi="Times New Roman"/>
          <w:color w:val="auto"/>
          <w:sz w:val="24"/>
          <w:szCs w:val="24"/>
          <w:highlight w:val="none"/>
        </w:rPr>
        <w:t>GB 50411</w:t>
      </w:r>
      <w:r>
        <w:rPr>
          <w:rFonts w:hint="eastAsia" w:ascii="Times New Roman" w:hAnsi="Times New Roman"/>
          <w:color w:val="auto"/>
          <w:sz w:val="24"/>
          <w:szCs w:val="24"/>
          <w:highlight w:val="none"/>
        </w:rPr>
        <w:t>、《建筑装饰装修工程质量验收规范》</w:t>
      </w:r>
      <w:r>
        <w:rPr>
          <w:rFonts w:ascii="Times New Roman" w:hAnsi="Times New Roman"/>
          <w:color w:val="auto"/>
          <w:sz w:val="24"/>
          <w:szCs w:val="24"/>
          <w:highlight w:val="none"/>
        </w:rPr>
        <w:t>GB 50210</w:t>
      </w:r>
      <w:r>
        <w:rPr>
          <w:rFonts w:hint="eastAsia" w:ascii="Times New Roman" w:hAnsi="Times New Roman"/>
          <w:color w:val="auto"/>
          <w:sz w:val="24"/>
          <w:szCs w:val="24"/>
          <w:highlight w:val="none"/>
        </w:rPr>
        <w:t>和重庆市《建筑节能(绿色建筑)工程施工质量验收规范》DBJ 50-255的相关规定。</w:t>
      </w:r>
    </w:p>
    <w:p>
      <w:pPr>
        <w:spacing w:line="360" w:lineRule="auto"/>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【条文说明】本章依据《建筑工程施工质量验收统一标准》GB</w:t>
      </w:r>
      <w:r>
        <w:rPr>
          <w:rFonts w:hint="eastAsia" w:ascii="楷体" w:hAnsi="楷体" w:eastAsia="楷体"/>
          <w:color w:val="auto"/>
          <w:sz w:val="24"/>
          <w:szCs w:val="24"/>
          <w:highlight w:val="none"/>
          <w:lang w:val="en-US" w:eastAsia="zh-CN"/>
        </w:rPr>
        <w:t xml:space="preserve"> </w:t>
      </w:r>
      <w:r>
        <w:rPr>
          <w:rFonts w:hint="eastAsia" w:ascii="楷体" w:hAnsi="楷体" w:eastAsia="楷体"/>
          <w:color w:val="auto"/>
          <w:sz w:val="24"/>
          <w:szCs w:val="24"/>
          <w:highlight w:val="none"/>
        </w:rPr>
        <w:t>50300.《建筑节能工程施工质量验收规范》GB 50411,《建筑装饰装修工程质量验收规范》GB 50210和重庆市《建筑节能(绿色建筑)工程施工质量验收规范》DBJ 50-255的相关规定,提出验收要求。</w:t>
      </w:r>
    </w:p>
    <w:p>
      <w:pPr>
        <w:spacing w:line="360" w:lineRule="auto"/>
        <w:outlineLvl w:val="2"/>
        <w:rPr>
          <w:rFonts w:ascii="Times New Roman" w:hAnsi="Times New Roman"/>
          <w:color w:val="auto"/>
          <w:sz w:val="24"/>
          <w:szCs w:val="24"/>
          <w:highlight w:val="none"/>
        </w:rPr>
      </w:pPr>
      <w:r>
        <w:rPr>
          <w:rFonts w:hint="eastAsia" w:ascii="Times New Roman" w:hAnsi="Times New Roman"/>
          <w:b/>
          <w:bCs/>
          <w:color w:val="auto"/>
          <w:sz w:val="24"/>
          <w:szCs w:val="24"/>
          <w:highlight w:val="none"/>
        </w:rPr>
        <w:t>7.1</w:t>
      </w:r>
      <w:r>
        <w:rPr>
          <w:rFonts w:ascii="Times New Roman" w:hAnsi="Times New Roman"/>
          <w:b/>
          <w:bCs/>
          <w:color w:val="auto"/>
          <w:sz w:val="24"/>
          <w:szCs w:val="24"/>
          <w:highlight w:val="none"/>
        </w:rPr>
        <w:t>.2</w:t>
      </w:r>
      <w:r>
        <w:rPr>
          <w:rFonts w:hint="eastAsia" w:ascii="Times New Roman" w:hAnsi="Times New Roman"/>
          <w:color w:val="auto"/>
          <w:sz w:val="24"/>
          <w:szCs w:val="24"/>
          <w:highlight w:val="none"/>
        </w:rPr>
        <w:t xml:space="preserve"> 内保温系统工程应在基层墙体质量验收合格后施工，施工过程中应及时进行质量检查、隐蔽工程验收和检验批验收，施工完成后应进行内保温工程质量验收。</w:t>
      </w:r>
    </w:p>
    <w:p>
      <w:pPr>
        <w:spacing w:line="360" w:lineRule="auto"/>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条文说明】为保证工程质量，需要对墙体基层表面进行处理，然后进行保温层施工。基层表面处理对于内保温系统完成质量和节能效果很重要，由于基层表面处理属于隐蔽工程，施工容易被忽略，事后无法检查。本条强调对基层表面进行处理应按照设计和施工方案的要求进行，以满足保温层施工工艺的需要。</w:t>
      </w:r>
    </w:p>
    <w:p>
      <w:pPr>
        <w:spacing w:line="360" w:lineRule="auto"/>
        <w:outlineLvl w:val="2"/>
        <w:rPr>
          <w:rFonts w:ascii="Times New Roman" w:hAnsi="Times New Roman"/>
          <w:color w:val="auto"/>
          <w:sz w:val="24"/>
          <w:szCs w:val="24"/>
          <w:highlight w:val="none"/>
        </w:rPr>
      </w:pPr>
      <w:r>
        <w:rPr>
          <w:rFonts w:hint="eastAsia" w:ascii="Times New Roman" w:hAnsi="Times New Roman"/>
          <w:b/>
          <w:color w:val="auto"/>
          <w:sz w:val="24"/>
          <w:szCs w:val="24"/>
          <w:highlight w:val="none"/>
        </w:rPr>
        <w:t>7.1</w:t>
      </w:r>
      <w:r>
        <w:rPr>
          <w:rFonts w:ascii="Times New Roman" w:hAnsi="Times New Roman"/>
          <w:b/>
          <w:color w:val="auto"/>
          <w:sz w:val="24"/>
          <w:szCs w:val="24"/>
          <w:highlight w:val="none"/>
        </w:rPr>
        <w:t>.</w:t>
      </w:r>
      <w:r>
        <w:rPr>
          <w:rFonts w:hint="eastAsia" w:ascii="Times New Roman" w:hAnsi="Times New Roman"/>
          <w:b/>
          <w:color w:val="auto"/>
          <w:sz w:val="24"/>
          <w:szCs w:val="24"/>
          <w:highlight w:val="none"/>
        </w:rPr>
        <w:t>3</w:t>
      </w:r>
      <w:r>
        <w:rPr>
          <w:rFonts w:hint="eastAsia" w:ascii="Times New Roman" w:hAnsi="Times New Roman"/>
          <w:b/>
          <w:color w:val="auto"/>
          <w:sz w:val="24"/>
          <w:szCs w:val="24"/>
          <w:highlight w:val="none"/>
          <w:lang w:val="en-US" w:eastAsia="zh-CN"/>
        </w:rPr>
        <w:t xml:space="preserve"> </w:t>
      </w:r>
      <w:r>
        <w:rPr>
          <w:rFonts w:hint="eastAsia" w:ascii="Times New Roman" w:hAnsi="Times New Roman"/>
          <w:color w:val="auto"/>
          <w:sz w:val="24"/>
          <w:szCs w:val="24"/>
          <w:highlight w:val="none"/>
        </w:rPr>
        <w:t>内保温系统工程应对下列部位或内容进行隐蔽工程验收，并应有详细的文字记录和必要的图像资料：</w:t>
      </w:r>
    </w:p>
    <w:p>
      <w:pPr>
        <w:spacing w:line="360" w:lineRule="auto"/>
        <w:ind w:firstLine="480" w:firstLineChars="200"/>
        <w:contextualSpacing/>
        <w:rPr>
          <w:rFonts w:ascii="Times New Roman" w:hAnsi="Times New Roman"/>
          <w:color w:val="auto"/>
          <w:sz w:val="24"/>
          <w:szCs w:val="24"/>
          <w:highlight w:val="none"/>
        </w:rPr>
      </w:pPr>
      <w:r>
        <w:rPr>
          <w:rFonts w:ascii="Times New Roman" w:hAnsi="Times New Roman"/>
          <w:color w:val="auto"/>
          <w:sz w:val="24"/>
          <w:szCs w:val="24"/>
          <w:highlight w:val="none"/>
        </w:rPr>
        <w:t>1</w:t>
      </w:r>
      <w:r>
        <w:rPr>
          <w:rFonts w:hint="eastAsia" w:ascii="Times New Roman" w:hAnsi="Times New Roman"/>
          <w:color w:val="auto"/>
          <w:sz w:val="24"/>
          <w:szCs w:val="24"/>
          <w:highlight w:val="none"/>
        </w:rPr>
        <w:t>保温复合板附着的基层及其表面处理；</w:t>
      </w:r>
    </w:p>
    <w:p>
      <w:pPr>
        <w:spacing w:line="360" w:lineRule="auto"/>
        <w:ind w:firstLine="480" w:firstLineChars="200"/>
        <w:contextualSpacing/>
        <w:rPr>
          <w:rFonts w:ascii="Times New Roman" w:hAnsi="Times New Roman"/>
          <w:color w:val="auto"/>
          <w:sz w:val="24"/>
          <w:szCs w:val="24"/>
          <w:highlight w:val="none"/>
        </w:rPr>
      </w:pPr>
      <w:r>
        <w:rPr>
          <w:rFonts w:ascii="Times New Roman" w:hAnsi="Times New Roman"/>
          <w:color w:val="auto"/>
          <w:sz w:val="24"/>
          <w:szCs w:val="24"/>
          <w:highlight w:val="none"/>
        </w:rPr>
        <w:t>2</w:t>
      </w:r>
      <w:r>
        <w:rPr>
          <w:rFonts w:hint="eastAsia" w:ascii="Times New Roman" w:hAnsi="Times New Roman"/>
          <w:color w:val="auto"/>
          <w:sz w:val="24"/>
          <w:szCs w:val="24"/>
          <w:highlight w:val="none"/>
        </w:rPr>
        <w:t>保温复合板的粘结或固定；</w:t>
      </w:r>
    </w:p>
    <w:p>
      <w:pPr>
        <w:spacing w:line="360" w:lineRule="auto"/>
        <w:ind w:firstLine="480" w:firstLineChars="200"/>
        <w:contextualSpacing/>
        <w:rPr>
          <w:rFonts w:ascii="Times New Roman" w:hAnsi="Times New Roman"/>
          <w:color w:val="auto"/>
          <w:sz w:val="24"/>
          <w:szCs w:val="24"/>
          <w:highlight w:val="none"/>
        </w:rPr>
      </w:pPr>
      <w:r>
        <w:rPr>
          <w:rFonts w:ascii="Times New Roman" w:hAnsi="Times New Roman"/>
          <w:color w:val="auto"/>
          <w:sz w:val="24"/>
          <w:szCs w:val="24"/>
          <w:highlight w:val="none"/>
        </w:rPr>
        <w:t>3</w:t>
      </w:r>
      <w:r>
        <w:rPr>
          <w:rFonts w:hint="eastAsia" w:ascii="Times New Roman" w:hAnsi="Times New Roman"/>
          <w:color w:val="auto"/>
          <w:sz w:val="24"/>
          <w:szCs w:val="24"/>
          <w:highlight w:val="none"/>
        </w:rPr>
        <w:t>锚栓安装；</w:t>
      </w:r>
    </w:p>
    <w:p>
      <w:pPr>
        <w:spacing w:line="360" w:lineRule="auto"/>
        <w:ind w:firstLine="480" w:firstLineChars="200"/>
        <w:contextualSpacing/>
        <w:rPr>
          <w:rFonts w:ascii="Times New Roman" w:hAnsi="Times New Roman"/>
          <w:color w:val="auto"/>
          <w:sz w:val="24"/>
          <w:szCs w:val="24"/>
          <w:highlight w:val="none"/>
        </w:rPr>
      </w:pPr>
      <w:r>
        <w:rPr>
          <w:rFonts w:ascii="Times New Roman" w:hAnsi="Times New Roman"/>
          <w:color w:val="auto"/>
          <w:sz w:val="24"/>
          <w:szCs w:val="24"/>
          <w:highlight w:val="none"/>
        </w:rPr>
        <w:t>4</w:t>
      </w:r>
      <w:r>
        <w:rPr>
          <w:rFonts w:hint="eastAsia" w:ascii="Times New Roman" w:hAnsi="Times New Roman"/>
          <w:color w:val="auto"/>
          <w:sz w:val="24"/>
          <w:szCs w:val="24"/>
          <w:highlight w:val="none"/>
        </w:rPr>
        <w:t>墙体热桥部位（门窗洞口、凸窗四周）处理；</w:t>
      </w:r>
    </w:p>
    <w:p>
      <w:pPr>
        <w:spacing w:line="360" w:lineRule="auto"/>
        <w:ind w:firstLine="480" w:firstLineChars="200"/>
        <w:contextualSpacing/>
        <w:rPr>
          <w:rFonts w:ascii="Times New Roman" w:hAnsi="Times New Roman"/>
          <w:color w:val="auto"/>
          <w:sz w:val="24"/>
          <w:szCs w:val="24"/>
          <w:highlight w:val="none"/>
        </w:rPr>
      </w:pPr>
      <w:r>
        <w:rPr>
          <w:rFonts w:ascii="Times New Roman" w:hAnsi="Times New Roman"/>
          <w:color w:val="auto"/>
          <w:sz w:val="24"/>
          <w:szCs w:val="24"/>
          <w:highlight w:val="none"/>
        </w:rPr>
        <w:t>5</w:t>
      </w:r>
      <w:r>
        <w:rPr>
          <w:rFonts w:hint="eastAsia" w:ascii="Times New Roman" w:hAnsi="Times New Roman"/>
          <w:color w:val="auto"/>
          <w:sz w:val="24"/>
          <w:szCs w:val="24"/>
          <w:highlight w:val="none"/>
        </w:rPr>
        <w:t>板缝及构造节点处理；</w:t>
      </w:r>
    </w:p>
    <w:p>
      <w:pPr>
        <w:spacing w:line="360" w:lineRule="auto"/>
        <w:ind w:firstLine="480" w:firstLineChars="200"/>
        <w:contextualSpacing/>
        <w:rPr>
          <w:rFonts w:ascii="Times New Roman" w:hAnsi="Times New Roman"/>
          <w:color w:val="auto"/>
          <w:sz w:val="24"/>
          <w:szCs w:val="24"/>
          <w:highlight w:val="none"/>
        </w:rPr>
      </w:pPr>
      <w:r>
        <w:rPr>
          <w:rFonts w:ascii="Times New Roman" w:hAnsi="Times New Roman"/>
          <w:color w:val="auto"/>
          <w:sz w:val="24"/>
          <w:szCs w:val="24"/>
          <w:highlight w:val="none"/>
        </w:rPr>
        <w:t>6</w:t>
      </w:r>
      <w:r>
        <w:rPr>
          <w:rFonts w:hint="eastAsia" w:ascii="Times New Roman" w:hAnsi="Times New Roman"/>
          <w:color w:val="auto"/>
          <w:sz w:val="24"/>
          <w:szCs w:val="24"/>
          <w:highlight w:val="none"/>
        </w:rPr>
        <w:t>隔气层的铺设。</w:t>
      </w:r>
    </w:p>
    <w:p>
      <w:pPr>
        <w:spacing w:line="360" w:lineRule="auto"/>
        <w:ind w:left="241" w:hanging="241" w:hangingChars="100"/>
        <w:outlineLvl w:val="2"/>
        <w:rPr>
          <w:rFonts w:ascii="Times New Roman" w:hAnsi="Times New Roman"/>
          <w:color w:val="auto"/>
          <w:sz w:val="24"/>
          <w:szCs w:val="24"/>
          <w:highlight w:val="none"/>
        </w:rPr>
      </w:pPr>
      <w:r>
        <w:rPr>
          <w:rFonts w:hint="eastAsia" w:ascii="Times New Roman" w:hAnsi="Times New Roman"/>
          <w:b/>
          <w:color w:val="auto"/>
          <w:sz w:val="24"/>
          <w:szCs w:val="24"/>
          <w:highlight w:val="none"/>
        </w:rPr>
        <w:t>7.1</w:t>
      </w:r>
      <w:r>
        <w:rPr>
          <w:rFonts w:ascii="Times New Roman" w:hAnsi="Times New Roman"/>
          <w:b/>
          <w:color w:val="auto"/>
          <w:sz w:val="24"/>
          <w:szCs w:val="24"/>
          <w:highlight w:val="none"/>
        </w:rPr>
        <w:t>.</w:t>
      </w:r>
      <w:r>
        <w:rPr>
          <w:rFonts w:hint="eastAsia" w:ascii="Times New Roman" w:hAnsi="Times New Roman"/>
          <w:b/>
          <w:color w:val="auto"/>
          <w:sz w:val="24"/>
          <w:szCs w:val="24"/>
          <w:highlight w:val="none"/>
        </w:rPr>
        <w:t>4</w:t>
      </w:r>
      <w:r>
        <w:rPr>
          <w:rFonts w:hint="eastAsia" w:ascii="Times New Roman" w:hAnsi="Times New Roman"/>
          <w:b/>
          <w:color w:val="auto"/>
          <w:sz w:val="24"/>
          <w:szCs w:val="24"/>
          <w:highlight w:val="none"/>
          <w:lang w:val="en-US" w:eastAsia="zh-CN"/>
        </w:rPr>
        <w:t xml:space="preserve"> </w:t>
      </w:r>
      <w:r>
        <w:rPr>
          <w:rFonts w:hint="eastAsia" w:ascii="Times New Roman" w:hAnsi="Times New Roman"/>
          <w:color w:val="auto"/>
          <w:sz w:val="24"/>
          <w:szCs w:val="24"/>
          <w:highlight w:val="none"/>
        </w:rPr>
        <w:t>内保温系统工程检验批的划分应符合下列规定：</w:t>
      </w:r>
    </w:p>
    <w:p>
      <w:pPr>
        <w:spacing w:line="360" w:lineRule="auto"/>
        <w:ind w:firstLine="480" w:firstLineChars="200"/>
        <w:rPr>
          <w:rFonts w:hint="eastAsia" w:ascii="Times New Roman" w:hAnsi="Times New Roman" w:eastAsia="宋体"/>
          <w:color w:val="auto"/>
          <w:sz w:val="24"/>
          <w:szCs w:val="24"/>
          <w:highlight w:val="none"/>
          <w:lang w:eastAsia="zh-CN"/>
        </w:rPr>
      </w:pPr>
      <w:r>
        <w:rPr>
          <w:rFonts w:ascii="Times New Roman" w:hAnsi="Times New Roman"/>
          <w:color w:val="auto"/>
          <w:sz w:val="24"/>
          <w:szCs w:val="24"/>
          <w:highlight w:val="none"/>
        </w:rPr>
        <w:t>1</w:t>
      </w:r>
      <w:r>
        <w:rPr>
          <w:rFonts w:hint="eastAsia" w:ascii="Times New Roman" w:hAnsi="Times New Roman"/>
          <w:color w:val="auto"/>
          <w:sz w:val="24"/>
          <w:szCs w:val="24"/>
          <w:highlight w:val="none"/>
        </w:rPr>
        <w:t>按相同材料、工艺和构造做法，每</w:t>
      </w:r>
      <w:r>
        <w:rPr>
          <w:rFonts w:ascii="Times New Roman" w:hAnsi="Times New Roman"/>
          <w:color w:val="auto"/>
          <w:sz w:val="24"/>
          <w:szCs w:val="24"/>
          <w:highlight w:val="none"/>
        </w:rPr>
        <w:t>500</w:t>
      </w:r>
      <w:r>
        <w:rPr>
          <w:rFonts w:hint="eastAsia" w:ascii="Times New Roman" w:hAnsi="Times New Roman"/>
          <w:color w:val="auto"/>
          <w:sz w:val="24"/>
          <w:szCs w:val="24"/>
          <w:highlight w:val="none"/>
        </w:rPr>
        <w:t>㎡</w:t>
      </w:r>
      <w:r>
        <w:rPr>
          <w:rFonts w:ascii="Times New Roman" w:hAnsi="Times New Roman"/>
          <w:color w:val="auto"/>
          <w:sz w:val="24"/>
          <w:szCs w:val="24"/>
          <w:highlight w:val="none"/>
        </w:rPr>
        <w:t>~1000</w:t>
      </w:r>
      <w:r>
        <w:rPr>
          <w:rFonts w:hint="eastAsia" w:ascii="Times New Roman" w:hAnsi="Times New Roman"/>
          <w:color w:val="auto"/>
          <w:sz w:val="24"/>
          <w:szCs w:val="24"/>
          <w:highlight w:val="none"/>
        </w:rPr>
        <w:t>㎡面积划分为一个检验批，不足</w:t>
      </w:r>
      <w:r>
        <w:rPr>
          <w:rFonts w:hint="eastAsia" w:ascii="Times New Roman" w:hAnsi="Times New Roman"/>
          <w:color w:val="auto"/>
          <w:sz w:val="24"/>
          <w:szCs w:val="24"/>
          <w:highlight w:val="none"/>
          <w:lang w:val="en-US" w:eastAsia="zh-CN"/>
        </w:rPr>
        <w:t>10</w:t>
      </w:r>
      <w:r>
        <w:rPr>
          <w:rFonts w:ascii="Times New Roman" w:hAnsi="Times New Roman"/>
          <w:color w:val="auto"/>
          <w:sz w:val="24"/>
          <w:szCs w:val="24"/>
          <w:highlight w:val="none"/>
        </w:rPr>
        <w:t>00</w:t>
      </w:r>
      <w:r>
        <w:rPr>
          <w:rFonts w:hint="eastAsia" w:ascii="Times New Roman" w:hAnsi="Times New Roman"/>
          <w:color w:val="auto"/>
          <w:sz w:val="24"/>
          <w:szCs w:val="24"/>
          <w:highlight w:val="none"/>
        </w:rPr>
        <w:t>㎡也为一个检验批，每个检验批每</w:t>
      </w:r>
      <w:r>
        <w:rPr>
          <w:rFonts w:ascii="Times New Roman" w:hAnsi="Times New Roman"/>
          <w:color w:val="auto"/>
          <w:sz w:val="24"/>
          <w:szCs w:val="24"/>
          <w:highlight w:val="none"/>
        </w:rPr>
        <w:t>100</w:t>
      </w:r>
      <w:r>
        <w:rPr>
          <w:rFonts w:hint="eastAsia" w:ascii="Times New Roman" w:hAnsi="Times New Roman"/>
          <w:color w:val="auto"/>
          <w:sz w:val="24"/>
          <w:szCs w:val="24"/>
          <w:highlight w:val="none"/>
        </w:rPr>
        <w:t>㎡应至少抽检一处，每处不得少于</w:t>
      </w:r>
      <w:r>
        <w:rPr>
          <w:rFonts w:ascii="Times New Roman" w:hAnsi="Times New Roman"/>
          <w:color w:val="auto"/>
          <w:sz w:val="24"/>
          <w:szCs w:val="24"/>
          <w:highlight w:val="none"/>
        </w:rPr>
        <w:t>10</w:t>
      </w:r>
      <w:r>
        <w:rPr>
          <w:rFonts w:hint="eastAsia" w:ascii="Times New Roman" w:hAnsi="Times New Roman"/>
          <w:color w:val="auto"/>
          <w:sz w:val="24"/>
          <w:szCs w:val="24"/>
          <w:highlight w:val="none"/>
        </w:rPr>
        <w:t>㎡</w:t>
      </w:r>
      <w:r>
        <w:rPr>
          <w:rFonts w:hint="eastAsia" w:ascii="Times New Roman" w:hAnsi="Times New Roman"/>
          <w:color w:val="auto"/>
          <w:sz w:val="24"/>
          <w:szCs w:val="24"/>
          <w:highlight w:val="none"/>
          <w:lang w:eastAsia="zh-CN"/>
        </w:rPr>
        <w:t>。</w:t>
      </w:r>
    </w:p>
    <w:p>
      <w:pPr>
        <w:spacing w:line="360" w:lineRule="auto"/>
        <w:ind w:firstLine="480" w:firstLineChars="200"/>
        <w:rPr>
          <w:rFonts w:hint="eastAsia" w:ascii="Times New Roman" w:hAnsi="Times New Roman"/>
          <w:color w:val="auto"/>
          <w:sz w:val="24"/>
          <w:szCs w:val="24"/>
          <w:highlight w:val="none"/>
          <w:lang w:val="en-US" w:eastAsia="zh-CN"/>
        </w:rPr>
      </w:pPr>
      <w:r>
        <w:rPr>
          <w:rFonts w:hint="eastAsia" w:ascii="Times New Roman" w:hAnsi="Times New Roman"/>
          <w:color w:val="auto"/>
          <w:sz w:val="24"/>
          <w:szCs w:val="24"/>
          <w:highlight w:val="none"/>
          <w:lang w:val="en-US" w:eastAsia="zh-CN"/>
        </w:rPr>
        <w:t>2高层建筑的标准层可按每10 层（不足10层按10层计）划分检验批。</w:t>
      </w:r>
    </w:p>
    <w:p>
      <w:pPr>
        <w:spacing w:line="360" w:lineRule="auto"/>
        <w:ind w:firstLine="480" w:firstLineChars="200"/>
        <w:rPr>
          <w:rFonts w:hint="eastAsia" w:ascii="Times New Roman" w:hAnsi="Times New Roman"/>
          <w:color w:val="auto"/>
          <w:sz w:val="24"/>
          <w:szCs w:val="24"/>
          <w:highlight w:val="none"/>
        </w:rPr>
      </w:pPr>
      <w:r>
        <w:rPr>
          <w:rFonts w:hint="eastAsia" w:ascii="Times New Roman" w:hAnsi="Times New Roman"/>
          <w:color w:val="auto"/>
          <w:sz w:val="24"/>
          <w:szCs w:val="24"/>
          <w:highlight w:val="none"/>
          <w:lang w:val="en-US" w:eastAsia="zh-CN"/>
        </w:rPr>
        <w:t>3</w:t>
      </w:r>
      <w:r>
        <w:rPr>
          <w:rFonts w:hint="eastAsia" w:ascii="Times New Roman" w:hAnsi="Times New Roman"/>
          <w:color w:val="auto"/>
          <w:sz w:val="24"/>
          <w:szCs w:val="24"/>
          <w:highlight w:val="none"/>
        </w:rPr>
        <w:t>检验批的划分也可根据方便施工与验收的原则，由施工单位与监理（建设）单位共同商定。</w:t>
      </w:r>
      <w:r>
        <w:rPr>
          <w:rFonts w:hint="eastAsia" w:ascii="Times New Roman" w:hAnsi="Times New Roman"/>
          <w:color w:val="auto"/>
          <w:sz w:val="24"/>
          <w:szCs w:val="24"/>
          <w:highlight w:val="none"/>
          <w:lang w:val="en-US" w:eastAsia="zh-CN"/>
        </w:rPr>
        <w:t>但一个检验批的面积不应大于3000</w:t>
      </w:r>
      <w:r>
        <w:rPr>
          <w:rFonts w:hint="eastAsia" w:ascii="Times New Roman" w:hAnsi="Times New Roman"/>
          <w:color w:val="auto"/>
          <w:sz w:val="24"/>
          <w:szCs w:val="24"/>
          <w:highlight w:val="none"/>
        </w:rPr>
        <w:t>㎡</w:t>
      </w:r>
      <w:r>
        <w:rPr>
          <w:rFonts w:hint="eastAsia" w:ascii="Times New Roman" w:hAnsi="Times New Roman"/>
          <w:color w:val="auto"/>
          <w:sz w:val="24"/>
          <w:szCs w:val="24"/>
          <w:highlight w:val="none"/>
          <w:lang w:val="en-US" w:eastAsia="zh-CN"/>
        </w:rPr>
        <w:t>。</w:t>
      </w:r>
    </w:p>
    <w:p>
      <w:pPr>
        <w:spacing w:line="360" w:lineRule="auto"/>
        <w:ind w:left="241" w:hanging="241" w:hangingChars="100"/>
        <w:outlineLvl w:val="2"/>
        <w:rPr>
          <w:rFonts w:ascii="Times New Roman" w:hAnsi="Times New Roman"/>
          <w:color w:val="auto"/>
          <w:sz w:val="24"/>
          <w:szCs w:val="24"/>
          <w:highlight w:val="none"/>
        </w:rPr>
      </w:pPr>
      <w:r>
        <w:rPr>
          <w:rFonts w:hint="eastAsia" w:ascii="Times New Roman" w:hAnsi="Times New Roman"/>
          <w:b/>
          <w:color w:val="auto"/>
          <w:sz w:val="24"/>
          <w:szCs w:val="24"/>
          <w:highlight w:val="none"/>
        </w:rPr>
        <w:t>7.1</w:t>
      </w:r>
      <w:r>
        <w:rPr>
          <w:rFonts w:ascii="Times New Roman" w:hAnsi="Times New Roman"/>
          <w:b/>
          <w:color w:val="auto"/>
          <w:sz w:val="24"/>
          <w:szCs w:val="24"/>
          <w:highlight w:val="none"/>
        </w:rPr>
        <w:t>.</w:t>
      </w:r>
      <w:r>
        <w:rPr>
          <w:rFonts w:hint="eastAsia" w:ascii="Times New Roman" w:hAnsi="Times New Roman"/>
          <w:b/>
          <w:color w:val="auto"/>
          <w:sz w:val="24"/>
          <w:szCs w:val="24"/>
          <w:highlight w:val="none"/>
        </w:rPr>
        <w:t>5</w:t>
      </w:r>
      <w:r>
        <w:rPr>
          <w:rFonts w:hint="eastAsia" w:ascii="Times New Roman" w:hAnsi="Times New Roman"/>
          <w:b/>
          <w:color w:val="auto"/>
          <w:sz w:val="24"/>
          <w:szCs w:val="24"/>
          <w:highlight w:val="none"/>
          <w:lang w:val="en-US" w:eastAsia="zh-CN"/>
        </w:rPr>
        <w:t xml:space="preserve"> </w:t>
      </w:r>
      <w:r>
        <w:rPr>
          <w:rFonts w:hint="eastAsia" w:ascii="Times New Roman" w:hAnsi="Times New Roman"/>
          <w:color w:val="auto"/>
          <w:sz w:val="24"/>
          <w:szCs w:val="24"/>
          <w:highlight w:val="none"/>
        </w:rPr>
        <w:t>内保温系统工程检验批质量验收合格，应符合下列规定：</w:t>
      </w:r>
    </w:p>
    <w:p>
      <w:pPr>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1</w:t>
      </w:r>
      <w:r>
        <w:rPr>
          <w:rFonts w:hint="eastAsia" w:ascii="Times New Roman" w:hAnsi="Times New Roman"/>
          <w:color w:val="auto"/>
          <w:sz w:val="24"/>
          <w:szCs w:val="24"/>
          <w:highlight w:val="none"/>
        </w:rPr>
        <w:t>检验批应按主控项目和一般项目验收；</w:t>
      </w:r>
    </w:p>
    <w:p>
      <w:pPr>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2</w:t>
      </w:r>
      <w:r>
        <w:rPr>
          <w:rFonts w:hint="eastAsia" w:ascii="Times New Roman" w:hAnsi="Times New Roman"/>
          <w:color w:val="auto"/>
          <w:sz w:val="24"/>
          <w:szCs w:val="24"/>
          <w:highlight w:val="none"/>
        </w:rPr>
        <w:t>主控项目应全部合格；</w:t>
      </w:r>
    </w:p>
    <w:p>
      <w:pPr>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3</w:t>
      </w:r>
      <w:r>
        <w:rPr>
          <w:rFonts w:hint="eastAsia" w:ascii="Times New Roman" w:hAnsi="Times New Roman"/>
          <w:color w:val="auto"/>
          <w:sz w:val="24"/>
          <w:szCs w:val="24"/>
          <w:highlight w:val="none"/>
        </w:rPr>
        <w:t>一般项目应合格，当采用计数检验时，至少应有</w:t>
      </w:r>
      <w:r>
        <w:rPr>
          <w:rFonts w:ascii="Times New Roman" w:hAnsi="Times New Roman"/>
          <w:color w:val="auto"/>
          <w:sz w:val="24"/>
          <w:szCs w:val="24"/>
          <w:highlight w:val="none"/>
        </w:rPr>
        <w:t>90</w:t>
      </w:r>
      <w:r>
        <w:rPr>
          <w:rFonts w:hint="eastAsia" w:ascii="Times New Roman" w:hAnsi="Times New Roman"/>
          <w:color w:val="auto"/>
          <w:sz w:val="24"/>
          <w:szCs w:val="24"/>
          <w:highlight w:val="none"/>
        </w:rPr>
        <w:t>％以上的检查点合格，且其余检查点不得有严重缺陷；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Times New Roman" w:hAnsi="Times New Roman"/>
          <w:color w:val="auto"/>
          <w:sz w:val="24"/>
          <w:szCs w:val="24"/>
          <w:highlight w:val="none"/>
        </w:rPr>
      </w:pPr>
      <w:r>
        <w:rPr>
          <w:rFonts w:ascii="Times New Roman" w:hAnsi="Times New Roman"/>
          <w:color w:val="auto"/>
          <w:sz w:val="24"/>
          <w:szCs w:val="24"/>
          <w:highlight w:val="none"/>
        </w:rPr>
        <w:t>4</w:t>
      </w:r>
      <w:r>
        <w:rPr>
          <w:rFonts w:hint="eastAsia" w:ascii="Times New Roman" w:hAnsi="Times New Roman"/>
          <w:color w:val="auto"/>
          <w:sz w:val="24"/>
          <w:szCs w:val="24"/>
          <w:highlight w:val="none"/>
        </w:rPr>
        <w:t>应具有完整的施工操作依据和质量验收记录。</w:t>
      </w:r>
      <w:bookmarkStart w:id="259" w:name="_Toc10504"/>
      <w:bookmarkStart w:id="260" w:name="_Toc430006762"/>
      <w:bookmarkStart w:id="261" w:name="_Toc410028675"/>
      <w:bookmarkStart w:id="262" w:name="_Toc13191"/>
    </w:p>
    <w:p>
      <w:pPr>
        <w:pStyle w:val="5"/>
        <w:bidi w:val="0"/>
        <w:rPr>
          <w:color w:val="auto"/>
          <w:highlight w:val="none"/>
        </w:rPr>
      </w:pPr>
      <w:bookmarkStart w:id="263" w:name="_Toc8268"/>
      <w:bookmarkStart w:id="264" w:name="_Toc14490"/>
      <w:bookmarkStart w:id="265" w:name="_Toc14751"/>
      <w:bookmarkStart w:id="266" w:name="_Toc9901"/>
      <w:r>
        <w:rPr>
          <w:rFonts w:hint="eastAsia"/>
          <w:color w:val="auto"/>
          <w:highlight w:val="none"/>
        </w:rPr>
        <w:t>7.2</w:t>
      </w:r>
      <w:r>
        <w:rPr>
          <w:color w:val="auto"/>
          <w:highlight w:val="none"/>
        </w:rPr>
        <w:t xml:space="preserve"> </w:t>
      </w:r>
      <w:r>
        <w:rPr>
          <w:rFonts w:hint="eastAsia"/>
          <w:color w:val="auto"/>
          <w:highlight w:val="none"/>
        </w:rPr>
        <w:t>主控项目</w:t>
      </w:r>
      <w:bookmarkEnd w:id="259"/>
      <w:bookmarkEnd w:id="260"/>
      <w:bookmarkEnd w:id="261"/>
      <w:bookmarkEnd w:id="262"/>
      <w:bookmarkEnd w:id="263"/>
      <w:bookmarkEnd w:id="264"/>
      <w:bookmarkEnd w:id="265"/>
      <w:bookmarkEnd w:id="266"/>
    </w:p>
    <w:p>
      <w:pPr>
        <w:spacing w:line="360" w:lineRule="auto"/>
        <w:outlineLvl w:val="2"/>
        <w:rPr>
          <w:rFonts w:ascii="Times New Roman" w:hAnsi="Times New Roman"/>
          <w:color w:val="auto"/>
          <w:sz w:val="24"/>
          <w:szCs w:val="24"/>
          <w:highlight w:val="none"/>
        </w:rPr>
      </w:pPr>
      <w:r>
        <w:rPr>
          <w:rFonts w:hint="eastAsia" w:ascii="Times New Roman" w:hAnsi="Times New Roman"/>
          <w:b/>
          <w:color w:val="auto"/>
          <w:sz w:val="24"/>
          <w:szCs w:val="24"/>
          <w:highlight w:val="none"/>
        </w:rPr>
        <w:t>7.2</w:t>
      </w:r>
      <w:r>
        <w:rPr>
          <w:rFonts w:ascii="Times New Roman" w:hAnsi="Times New Roman"/>
          <w:b/>
          <w:color w:val="auto"/>
          <w:sz w:val="24"/>
          <w:szCs w:val="24"/>
          <w:highlight w:val="none"/>
        </w:rPr>
        <w:t>.1</w:t>
      </w:r>
      <w:r>
        <w:rPr>
          <w:rFonts w:hint="eastAsia" w:ascii="Times New Roman" w:hAnsi="Times New Roman"/>
          <w:b/>
          <w:color w:val="auto"/>
          <w:sz w:val="24"/>
          <w:szCs w:val="24"/>
          <w:highlight w:val="none"/>
          <w:lang w:val="en-US" w:eastAsia="zh-CN"/>
        </w:rPr>
        <w:t xml:space="preserve"> </w:t>
      </w:r>
      <w:r>
        <w:rPr>
          <w:rFonts w:hint="eastAsia" w:ascii="Times New Roman" w:hAnsi="Times New Roman"/>
          <w:color w:val="auto"/>
          <w:sz w:val="24"/>
          <w:szCs w:val="24"/>
          <w:highlight w:val="none"/>
        </w:rPr>
        <w:t>内保温系统工程及主要组成材料其品种、规格、性能应符合设计要求和本规程的规定。</w:t>
      </w:r>
    </w:p>
    <w:p>
      <w:pPr>
        <w:spacing w:line="360" w:lineRule="auto"/>
        <w:ind w:firstLine="480" w:firstLineChars="200"/>
        <w:rPr>
          <w:rFonts w:ascii="Times New Roman" w:hAnsi="Times New Roman"/>
          <w:color w:val="auto"/>
          <w:sz w:val="24"/>
          <w:szCs w:val="24"/>
          <w:highlight w:val="none"/>
        </w:rPr>
      </w:pPr>
      <w:r>
        <w:rPr>
          <w:rFonts w:hint="eastAsia" w:ascii="Times New Roman" w:hAnsi="Times New Roman"/>
          <w:color w:val="auto"/>
          <w:sz w:val="24"/>
          <w:szCs w:val="24"/>
          <w:highlight w:val="none"/>
        </w:rPr>
        <w:t>检验方法：观察、尺量检查；核查质量证明文件。</w:t>
      </w:r>
    </w:p>
    <w:p>
      <w:pPr>
        <w:spacing w:line="360" w:lineRule="auto"/>
        <w:ind w:firstLine="480" w:firstLineChars="200"/>
        <w:rPr>
          <w:rFonts w:ascii="Times New Roman" w:hAnsi="Times New Roman"/>
          <w:color w:val="auto"/>
          <w:sz w:val="24"/>
          <w:szCs w:val="24"/>
          <w:highlight w:val="none"/>
        </w:rPr>
      </w:pPr>
      <w:r>
        <w:rPr>
          <w:rFonts w:hint="eastAsia" w:ascii="Times New Roman" w:hAnsi="Times New Roman"/>
          <w:color w:val="auto"/>
          <w:sz w:val="24"/>
          <w:szCs w:val="24"/>
          <w:highlight w:val="none"/>
        </w:rPr>
        <w:t>检查数量：按进场批次（同一厂家、同一品种为一批），每批随机抽取3个试样进行检查；质量证明文件应按照其出厂检验批进行核查。</w:t>
      </w:r>
    </w:p>
    <w:p>
      <w:pPr>
        <w:spacing w:line="360" w:lineRule="auto"/>
        <w:outlineLvl w:val="2"/>
        <w:rPr>
          <w:rFonts w:ascii="Times New Roman" w:hAnsi="Times New Roman"/>
          <w:color w:val="auto"/>
          <w:sz w:val="24"/>
          <w:szCs w:val="24"/>
          <w:highlight w:val="none"/>
        </w:rPr>
      </w:pPr>
      <w:r>
        <w:rPr>
          <w:rFonts w:hint="eastAsia" w:ascii="Times New Roman" w:hAnsi="Times New Roman"/>
          <w:b/>
          <w:color w:val="auto"/>
          <w:sz w:val="24"/>
          <w:szCs w:val="24"/>
          <w:highlight w:val="none"/>
        </w:rPr>
        <w:t>7.2</w:t>
      </w:r>
      <w:r>
        <w:rPr>
          <w:rFonts w:ascii="Times New Roman" w:hAnsi="Times New Roman"/>
          <w:b/>
          <w:color w:val="auto"/>
          <w:sz w:val="24"/>
          <w:szCs w:val="24"/>
          <w:highlight w:val="none"/>
        </w:rPr>
        <w:t>.2</w:t>
      </w:r>
      <w:r>
        <w:rPr>
          <w:rFonts w:hint="eastAsia" w:ascii="Times New Roman" w:hAnsi="Times New Roman"/>
          <w:b/>
          <w:color w:val="auto"/>
          <w:sz w:val="24"/>
          <w:szCs w:val="24"/>
          <w:highlight w:val="none"/>
          <w:lang w:val="en-US" w:eastAsia="zh-CN"/>
        </w:rPr>
        <w:t xml:space="preserve"> </w:t>
      </w:r>
      <w:r>
        <w:rPr>
          <w:rFonts w:hint="eastAsia" w:ascii="Times New Roman" w:hAnsi="Times New Roman"/>
          <w:color w:val="auto"/>
          <w:sz w:val="24"/>
          <w:szCs w:val="24"/>
          <w:highlight w:val="none"/>
        </w:rPr>
        <w:t>内保温系统工程主要组成材料进场时，应提供产品品种、规格、性能等有效的型式检验报告，并按表7.2</w:t>
      </w:r>
      <w:r>
        <w:rPr>
          <w:rFonts w:ascii="Times New Roman" w:hAnsi="Times New Roman"/>
          <w:color w:val="auto"/>
          <w:sz w:val="24"/>
          <w:szCs w:val="24"/>
          <w:highlight w:val="none"/>
        </w:rPr>
        <w:t>.2</w:t>
      </w:r>
      <w:r>
        <w:rPr>
          <w:rFonts w:hint="eastAsia" w:ascii="Times New Roman" w:hAnsi="Times New Roman"/>
          <w:color w:val="auto"/>
          <w:sz w:val="24"/>
          <w:szCs w:val="24"/>
          <w:highlight w:val="none"/>
        </w:rPr>
        <w:t>规定对材料进行现场抽样复验。</w:t>
      </w:r>
    </w:p>
    <w:p>
      <w:pPr>
        <w:spacing w:line="360" w:lineRule="auto"/>
        <w:jc w:val="center"/>
        <w:rPr>
          <w:rFonts w:ascii="Times New Roman" w:hAnsi="Times New Roman"/>
          <w:color w:val="auto"/>
          <w:szCs w:val="21"/>
          <w:highlight w:val="none"/>
        </w:rPr>
      </w:pPr>
      <w:r>
        <w:rPr>
          <w:rFonts w:hint="eastAsia" w:ascii="Times New Roman" w:hAnsi="Times New Roman"/>
          <w:color w:val="auto"/>
          <w:szCs w:val="21"/>
          <w:highlight w:val="none"/>
        </w:rPr>
        <w:t>表7.2</w:t>
      </w:r>
      <w:r>
        <w:rPr>
          <w:rFonts w:ascii="Times New Roman" w:hAnsi="Times New Roman"/>
          <w:color w:val="auto"/>
          <w:szCs w:val="21"/>
          <w:highlight w:val="none"/>
        </w:rPr>
        <w:t>.2</w:t>
      </w:r>
      <w:r>
        <w:rPr>
          <w:rFonts w:hint="eastAsia" w:ascii="Times New Roman" w:hAnsi="Times New Roman"/>
          <w:color w:val="auto"/>
          <w:szCs w:val="21"/>
          <w:highlight w:val="none"/>
        </w:rPr>
        <w:t>内保温工程主要组成材料的复验项目</w:t>
      </w:r>
    </w:p>
    <w:tbl>
      <w:tblPr>
        <w:tblStyle w:val="2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369"/>
        <w:gridCol w:w="51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369" w:type="dxa"/>
            <w:noWrap/>
            <w:vAlign w:val="center"/>
          </w:tcPr>
          <w:p>
            <w:pPr>
              <w:spacing w:line="360" w:lineRule="auto"/>
              <w:jc w:val="center"/>
              <w:rPr>
                <w:rFonts w:ascii="Times New Roman" w:hAnsi="Times New Roman"/>
                <w:color w:val="auto"/>
                <w:szCs w:val="21"/>
                <w:highlight w:val="none"/>
              </w:rPr>
            </w:pPr>
            <w:r>
              <w:rPr>
                <w:rFonts w:hint="eastAsia" w:ascii="Times New Roman" w:hAnsi="Times New Roman"/>
                <w:color w:val="auto"/>
                <w:szCs w:val="21"/>
                <w:highlight w:val="none"/>
              </w:rPr>
              <w:t>组成材料</w:t>
            </w:r>
          </w:p>
        </w:tc>
        <w:tc>
          <w:tcPr>
            <w:tcW w:w="5153" w:type="dxa"/>
            <w:noWrap/>
            <w:vAlign w:val="center"/>
          </w:tcPr>
          <w:p>
            <w:pPr>
              <w:spacing w:line="360" w:lineRule="auto"/>
              <w:jc w:val="center"/>
              <w:rPr>
                <w:rFonts w:ascii="Times New Roman" w:hAnsi="Times New Roman"/>
                <w:color w:val="auto"/>
                <w:szCs w:val="21"/>
                <w:highlight w:val="none"/>
              </w:rPr>
            </w:pPr>
            <w:r>
              <w:rPr>
                <w:rFonts w:hint="eastAsia" w:ascii="Times New Roman" w:hAnsi="Times New Roman"/>
                <w:color w:val="auto"/>
                <w:szCs w:val="21"/>
                <w:highlight w:val="none"/>
              </w:rPr>
              <w:t>复验项目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369" w:type="dxa"/>
            <w:noWrap/>
            <w:vAlign w:val="center"/>
          </w:tcPr>
          <w:p>
            <w:pPr>
              <w:spacing w:line="360" w:lineRule="auto"/>
              <w:jc w:val="center"/>
              <w:rPr>
                <w:rFonts w:ascii="Times New Roman" w:hAnsi="Times New Roman"/>
                <w:color w:val="auto"/>
                <w:szCs w:val="21"/>
                <w:highlight w:val="none"/>
              </w:rPr>
            </w:pPr>
            <w:r>
              <w:rPr>
                <w:rFonts w:hint="eastAsia" w:ascii="Times New Roman" w:hAnsi="Times New Roman"/>
                <w:color w:val="auto"/>
                <w:szCs w:val="21"/>
                <w:highlight w:val="none"/>
              </w:rPr>
              <w:t>保温复合板</w:t>
            </w:r>
          </w:p>
        </w:tc>
        <w:tc>
          <w:tcPr>
            <w:tcW w:w="5153" w:type="dxa"/>
            <w:noWrap/>
            <w:vAlign w:val="center"/>
          </w:tcPr>
          <w:p>
            <w:pPr>
              <w:spacing w:line="360" w:lineRule="auto"/>
              <w:jc w:val="center"/>
              <w:rPr>
                <w:rFonts w:ascii="Times New Roman" w:hAnsi="Times New Roman"/>
                <w:color w:val="auto"/>
                <w:szCs w:val="21"/>
                <w:highlight w:val="none"/>
              </w:rPr>
            </w:pPr>
            <w:r>
              <w:rPr>
                <w:rFonts w:hint="eastAsia" w:ascii="Times New Roman" w:hAnsi="Times New Roman"/>
                <w:color w:val="auto"/>
                <w:szCs w:val="21"/>
                <w:highlight w:val="none"/>
              </w:rPr>
              <w:t>拉伸粘结强度、抗冲击性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369" w:type="dxa"/>
            <w:noWrap/>
            <w:vAlign w:val="center"/>
          </w:tcPr>
          <w:p>
            <w:pPr>
              <w:spacing w:line="360" w:lineRule="auto"/>
              <w:jc w:val="center"/>
              <w:rPr>
                <w:rFonts w:ascii="Times New Roman" w:hAnsi="Times New Roman"/>
                <w:color w:val="auto"/>
                <w:szCs w:val="21"/>
                <w:highlight w:val="none"/>
              </w:rPr>
            </w:pPr>
            <w:r>
              <w:rPr>
                <w:rFonts w:hint="eastAsia" w:ascii="Times New Roman" w:hAnsi="Times New Roman"/>
                <w:color w:val="auto"/>
                <w:szCs w:val="21"/>
                <w:highlight w:val="none"/>
              </w:rPr>
              <w:t>保温材料</w:t>
            </w:r>
          </w:p>
        </w:tc>
        <w:tc>
          <w:tcPr>
            <w:tcW w:w="5153" w:type="dxa"/>
            <w:noWrap/>
            <w:vAlign w:val="center"/>
          </w:tcPr>
          <w:p>
            <w:pPr>
              <w:spacing w:line="360" w:lineRule="auto"/>
              <w:jc w:val="center"/>
              <w:rPr>
                <w:rFonts w:ascii="Times New Roman" w:hAnsi="Times New Roman"/>
                <w:color w:val="auto"/>
                <w:szCs w:val="21"/>
                <w:highlight w:val="none"/>
              </w:rPr>
            </w:pPr>
            <w:r>
              <w:rPr>
                <w:rFonts w:hint="eastAsia" w:ascii="Times New Roman" w:hAnsi="Times New Roman"/>
                <w:color w:val="auto"/>
                <w:szCs w:val="21"/>
                <w:highlight w:val="none"/>
              </w:rPr>
              <w:t>导热系数、密度、抗压强度或压缩强度、燃烧性能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369" w:type="dxa"/>
            <w:noWrap/>
            <w:vAlign w:val="center"/>
          </w:tcPr>
          <w:p>
            <w:pPr>
              <w:spacing w:line="360" w:lineRule="auto"/>
              <w:jc w:val="center"/>
              <w:rPr>
                <w:rFonts w:ascii="Times New Roman" w:hAnsi="Times New Roman"/>
                <w:color w:val="auto"/>
                <w:szCs w:val="21"/>
                <w:highlight w:val="none"/>
              </w:rPr>
            </w:pPr>
            <w:r>
              <w:rPr>
                <w:rFonts w:hint="eastAsia" w:ascii="Times New Roman" w:hAnsi="Times New Roman"/>
                <w:color w:val="auto"/>
                <w:szCs w:val="21"/>
                <w:highlight w:val="none"/>
              </w:rPr>
              <w:t>胶粘剂</w:t>
            </w:r>
          </w:p>
        </w:tc>
        <w:tc>
          <w:tcPr>
            <w:tcW w:w="5153" w:type="dxa"/>
            <w:noWrap/>
            <w:vAlign w:val="center"/>
          </w:tcPr>
          <w:p>
            <w:pPr>
              <w:spacing w:line="360" w:lineRule="auto"/>
              <w:jc w:val="center"/>
              <w:rPr>
                <w:rFonts w:ascii="Times New Roman" w:hAnsi="Times New Roman"/>
                <w:color w:val="auto"/>
                <w:szCs w:val="21"/>
                <w:highlight w:val="none"/>
              </w:rPr>
            </w:pPr>
            <w:r>
              <w:rPr>
                <w:rFonts w:hint="eastAsia" w:ascii="Times New Roman" w:hAnsi="Times New Roman"/>
                <w:color w:val="auto"/>
                <w:szCs w:val="21"/>
                <w:highlight w:val="none"/>
              </w:rPr>
              <w:t>与保温板拉伸粘结强度原强度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369" w:type="dxa"/>
            <w:noWrap/>
            <w:vAlign w:val="center"/>
          </w:tcPr>
          <w:p>
            <w:pPr>
              <w:spacing w:line="360" w:lineRule="auto"/>
              <w:jc w:val="center"/>
              <w:rPr>
                <w:rFonts w:ascii="Times New Roman" w:hAnsi="Times New Roman"/>
                <w:color w:val="auto"/>
                <w:szCs w:val="21"/>
                <w:highlight w:val="none"/>
              </w:rPr>
            </w:pPr>
            <w:r>
              <w:rPr>
                <w:rFonts w:hint="eastAsia" w:ascii="Times New Roman" w:hAnsi="Times New Roman"/>
                <w:color w:val="auto"/>
                <w:szCs w:val="21"/>
                <w:highlight w:val="none"/>
              </w:rPr>
              <w:t>锚栓</w:t>
            </w:r>
          </w:p>
        </w:tc>
        <w:tc>
          <w:tcPr>
            <w:tcW w:w="5153" w:type="dxa"/>
            <w:noWrap/>
            <w:vAlign w:val="center"/>
          </w:tcPr>
          <w:p>
            <w:pPr>
              <w:spacing w:line="360" w:lineRule="auto"/>
              <w:jc w:val="center"/>
              <w:rPr>
                <w:rFonts w:ascii="Times New Roman" w:hAnsi="Times New Roman"/>
                <w:color w:val="auto"/>
                <w:szCs w:val="21"/>
                <w:highlight w:val="none"/>
              </w:rPr>
            </w:pPr>
            <w:r>
              <w:rPr>
                <w:rFonts w:hint="eastAsia" w:ascii="Times New Roman" w:hAnsi="Times New Roman"/>
                <w:color w:val="auto"/>
                <w:szCs w:val="21"/>
                <w:highlight w:val="none"/>
              </w:rPr>
              <w:t>单个锚栓抗拉承载力标准值</w:t>
            </w:r>
          </w:p>
        </w:tc>
      </w:tr>
    </w:tbl>
    <w:p>
      <w:pPr>
        <w:spacing w:line="360" w:lineRule="auto"/>
        <w:ind w:firstLine="480" w:firstLineChars="200"/>
        <w:rPr>
          <w:rFonts w:ascii="Times New Roman" w:hAnsi="Times New Roman"/>
          <w:color w:val="auto"/>
          <w:sz w:val="24"/>
          <w:szCs w:val="24"/>
          <w:highlight w:val="none"/>
        </w:rPr>
      </w:pPr>
      <w:r>
        <w:rPr>
          <w:rFonts w:hint="eastAsia" w:ascii="Times New Roman" w:hAnsi="Times New Roman"/>
          <w:color w:val="auto"/>
          <w:sz w:val="24"/>
          <w:szCs w:val="24"/>
          <w:highlight w:val="none"/>
        </w:rPr>
        <w:t>检验方法：随机抽样送检，核查复验报告</w:t>
      </w:r>
    </w:p>
    <w:p>
      <w:pPr>
        <w:spacing w:line="360" w:lineRule="auto"/>
        <w:ind w:firstLine="480" w:firstLineChars="200"/>
        <w:rPr>
          <w:rFonts w:ascii="Times New Roman" w:hAnsi="Times New Roman"/>
          <w:color w:val="auto"/>
          <w:sz w:val="24"/>
          <w:szCs w:val="24"/>
          <w:highlight w:val="none"/>
        </w:rPr>
      </w:pPr>
      <w:r>
        <w:rPr>
          <w:rFonts w:hint="eastAsia" w:ascii="Times New Roman" w:hAnsi="Times New Roman"/>
          <w:color w:val="auto"/>
          <w:sz w:val="24"/>
          <w:szCs w:val="24"/>
          <w:highlight w:val="none"/>
        </w:rPr>
        <w:t>检查数量：同一厂家同一品种的产品，当单位工程建筑面积在</w:t>
      </w:r>
      <w:r>
        <w:rPr>
          <w:rFonts w:ascii="Times New Roman" w:hAnsi="Times New Roman"/>
          <w:color w:val="auto"/>
          <w:sz w:val="24"/>
          <w:szCs w:val="24"/>
          <w:highlight w:val="none"/>
        </w:rPr>
        <w:t>20000</w:t>
      </w:r>
      <w:r>
        <w:rPr>
          <w:rFonts w:hint="eastAsia" w:ascii="Times New Roman" w:hAnsi="Times New Roman"/>
          <w:color w:val="auto"/>
          <w:sz w:val="24"/>
          <w:szCs w:val="24"/>
          <w:highlight w:val="none"/>
        </w:rPr>
        <w:t>㎡以下时各抽查不少于</w:t>
      </w:r>
      <w:r>
        <w:rPr>
          <w:rFonts w:ascii="Times New Roman" w:hAnsi="Times New Roman"/>
          <w:color w:val="auto"/>
          <w:sz w:val="24"/>
          <w:szCs w:val="24"/>
          <w:highlight w:val="none"/>
        </w:rPr>
        <w:t>3</w:t>
      </w:r>
      <w:r>
        <w:rPr>
          <w:rFonts w:hint="eastAsia" w:ascii="Times New Roman" w:hAnsi="Times New Roman"/>
          <w:color w:val="auto"/>
          <w:sz w:val="24"/>
          <w:szCs w:val="24"/>
          <w:highlight w:val="none"/>
        </w:rPr>
        <w:t>次；当单位工程建筑面积在</w:t>
      </w:r>
      <w:r>
        <w:rPr>
          <w:rFonts w:ascii="Times New Roman" w:hAnsi="Times New Roman"/>
          <w:color w:val="auto"/>
          <w:sz w:val="24"/>
          <w:szCs w:val="24"/>
          <w:highlight w:val="none"/>
        </w:rPr>
        <w:t>20000</w:t>
      </w:r>
      <w:r>
        <w:rPr>
          <w:rFonts w:hint="eastAsia" w:ascii="Times New Roman" w:hAnsi="Times New Roman"/>
          <w:color w:val="auto"/>
          <w:sz w:val="24"/>
          <w:szCs w:val="24"/>
          <w:highlight w:val="none"/>
        </w:rPr>
        <w:t>㎡以上时各抽查不少于</w:t>
      </w:r>
      <w:r>
        <w:rPr>
          <w:rFonts w:ascii="Times New Roman" w:hAnsi="Times New Roman"/>
          <w:color w:val="auto"/>
          <w:sz w:val="24"/>
          <w:szCs w:val="24"/>
          <w:highlight w:val="none"/>
        </w:rPr>
        <w:t>6</w:t>
      </w:r>
      <w:r>
        <w:rPr>
          <w:rFonts w:hint="eastAsia" w:ascii="Times New Roman" w:hAnsi="Times New Roman"/>
          <w:color w:val="auto"/>
          <w:sz w:val="24"/>
          <w:szCs w:val="24"/>
          <w:highlight w:val="none"/>
        </w:rPr>
        <w:t>次。</w:t>
      </w:r>
    </w:p>
    <w:p>
      <w:pPr>
        <w:spacing w:line="360" w:lineRule="auto"/>
        <w:ind w:left="241" w:hanging="241" w:hangingChars="100"/>
        <w:outlineLvl w:val="2"/>
        <w:rPr>
          <w:rFonts w:ascii="Times New Roman" w:hAnsi="Times New Roman"/>
          <w:b/>
          <w:color w:val="auto"/>
          <w:sz w:val="24"/>
          <w:szCs w:val="24"/>
          <w:highlight w:val="none"/>
        </w:rPr>
      </w:pPr>
      <w:r>
        <w:rPr>
          <w:rFonts w:hint="eastAsia" w:ascii="Times New Roman" w:hAnsi="Times New Roman"/>
          <w:b/>
          <w:color w:val="auto"/>
          <w:sz w:val="24"/>
          <w:szCs w:val="24"/>
          <w:highlight w:val="none"/>
        </w:rPr>
        <w:t>7.2</w:t>
      </w:r>
      <w:r>
        <w:rPr>
          <w:rFonts w:ascii="Times New Roman" w:hAnsi="Times New Roman"/>
          <w:b/>
          <w:color w:val="auto"/>
          <w:sz w:val="24"/>
          <w:szCs w:val="24"/>
          <w:highlight w:val="none"/>
        </w:rPr>
        <w:t xml:space="preserve">.3 </w:t>
      </w:r>
      <w:r>
        <w:rPr>
          <w:rFonts w:hint="eastAsia" w:ascii="Times New Roman" w:hAnsi="Times New Roman"/>
          <w:color w:val="auto"/>
          <w:sz w:val="24"/>
          <w:szCs w:val="24"/>
          <w:highlight w:val="none"/>
        </w:rPr>
        <w:t>内保温系统工程施工前应按照设计和施工方案的要求对基层进行处理，处理后的基层应符合保温层施工方案的要求。</w:t>
      </w:r>
    </w:p>
    <w:p>
      <w:pPr>
        <w:spacing w:line="360" w:lineRule="auto"/>
        <w:ind w:firstLine="480" w:firstLineChars="200"/>
        <w:rPr>
          <w:rFonts w:ascii="Times New Roman" w:hAnsi="Times New Roman"/>
          <w:color w:val="auto"/>
          <w:sz w:val="24"/>
          <w:szCs w:val="24"/>
          <w:highlight w:val="none"/>
        </w:rPr>
      </w:pPr>
      <w:r>
        <w:rPr>
          <w:rFonts w:hint="eastAsia" w:ascii="Times New Roman" w:hAnsi="Times New Roman"/>
          <w:color w:val="auto"/>
          <w:sz w:val="24"/>
          <w:szCs w:val="24"/>
          <w:highlight w:val="none"/>
        </w:rPr>
        <w:t>检查方法：对照设计和施工方案观察检查；核查隐蔽工程验收记录。</w:t>
      </w:r>
    </w:p>
    <w:p>
      <w:pPr>
        <w:spacing w:line="360" w:lineRule="auto"/>
        <w:ind w:firstLine="480" w:firstLineChars="200"/>
        <w:rPr>
          <w:rFonts w:ascii="Times New Roman" w:hAnsi="Times New Roman"/>
          <w:color w:val="auto"/>
          <w:sz w:val="24"/>
          <w:szCs w:val="24"/>
          <w:highlight w:val="none"/>
        </w:rPr>
      </w:pPr>
      <w:r>
        <w:rPr>
          <w:rFonts w:hint="eastAsia" w:ascii="Times New Roman" w:hAnsi="Times New Roman"/>
          <w:color w:val="auto"/>
          <w:sz w:val="24"/>
          <w:szCs w:val="24"/>
          <w:highlight w:val="none"/>
        </w:rPr>
        <w:t>检查数量：全数检查。</w:t>
      </w:r>
    </w:p>
    <w:p>
      <w:pPr>
        <w:spacing w:line="360" w:lineRule="auto"/>
        <w:ind w:left="241" w:hanging="241" w:hangingChars="100"/>
        <w:outlineLvl w:val="2"/>
        <w:rPr>
          <w:rFonts w:ascii="Times New Roman" w:hAnsi="Times New Roman"/>
          <w:color w:val="auto"/>
          <w:sz w:val="24"/>
          <w:szCs w:val="24"/>
          <w:highlight w:val="none"/>
        </w:rPr>
      </w:pPr>
      <w:r>
        <w:rPr>
          <w:rFonts w:hint="eastAsia" w:ascii="Times New Roman" w:hAnsi="Times New Roman"/>
          <w:b/>
          <w:color w:val="auto"/>
          <w:sz w:val="24"/>
          <w:szCs w:val="24"/>
          <w:highlight w:val="none"/>
        </w:rPr>
        <w:t>7.2</w:t>
      </w:r>
      <w:r>
        <w:rPr>
          <w:rFonts w:ascii="Times New Roman" w:hAnsi="Times New Roman"/>
          <w:b/>
          <w:color w:val="auto"/>
          <w:sz w:val="24"/>
          <w:szCs w:val="24"/>
          <w:highlight w:val="none"/>
        </w:rPr>
        <w:t>.4</w:t>
      </w:r>
      <w:r>
        <w:rPr>
          <w:rFonts w:hint="eastAsia" w:ascii="Times New Roman" w:hAnsi="Times New Roman"/>
          <w:b/>
          <w:color w:val="auto"/>
          <w:sz w:val="24"/>
          <w:szCs w:val="24"/>
          <w:highlight w:val="none"/>
          <w:lang w:val="en-US" w:eastAsia="zh-CN"/>
        </w:rPr>
        <w:t xml:space="preserve"> </w:t>
      </w:r>
      <w:r>
        <w:rPr>
          <w:rFonts w:hint="eastAsia" w:ascii="Times New Roman" w:hAnsi="Times New Roman"/>
          <w:color w:val="auto"/>
          <w:sz w:val="24"/>
          <w:szCs w:val="24"/>
          <w:highlight w:val="none"/>
        </w:rPr>
        <w:t>内保温系统工程的施工应符合下列规定：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olor w:val="auto"/>
          <w:sz w:val="24"/>
          <w:szCs w:val="24"/>
          <w:highlight w:val="none"/>
          <w:lang w:eastAsia="zh-CN"/>
        </w:rPr>
      </w:pPr>
      <w:r>
        <w:rPr>
          <w:rFonts w:ascii="Times New Roman" w:hAnsi="Times New Roman"/>
          <w:color w:val="auto"/>
          <w:sz w:val="24"/>
          <w:szCs w:val="24"/>
          <w:highlight w:val="none"/>
        </w:rPr>
        <w:t>1</w:t>
      </w:r>
      <w:r>
        <w:rPr>
          <w:rFonts w:hint="eastAsia" w:ascii="Times New Roman" w:hAnsi="Times New Roman"/>
          <w:color w:val="auto"/>
          <w:sz w:val="24"/>
          <w:szCs w:val="24"/>
          <w:highlight w:val="none"/>
        </w:rPr>
        <w:t>保温材料厚度必须符合设计要求，不得有负偏差</w:t>
      </w:r>
      <w:r>
        <w:rPr>
          <w:rFonts w:hint="eastAsia" w:ascii="Times New Roman" w:hAnsi="Times New Roman"/>
          <w:color w:val="auto"/>
          <w:sz w:val="24"/>
          <w:szCs w:val="24"/>
          <w:highlight w:val="none"/>
          <w:lang w:eastAsia="zh-CN"/>
        </w:rPr>
        <w:t>。</w:t>
      </w:r>
    </w:p>
    <w:p>
      <w:pPr>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2</w:t>
      </w:r>
      <w:r>
        <w:rPr>
          <w:rFonts w:hint="eastAsia" w:ascii="Times New Roman" w:hAnsi="Times New Roman"/>
          <w:color w:val="auto"/>
          <w:sz w:val="24"/>
          <w:szCs w:val="24"/>
          <w:highlight w:val="none"/>
        </w:rPr>
        <w:t>保温材料与基层及各构造层之间的粘结或连接必须牢固。粘结强度和连接方式应符合设计要求。</w:t>
      </w:r>
    </w:p>
    <w:p>
      <w:pPr>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3</w:t>
      </w:r>
      <w:r>
        <w:rPr>
          <w:rFonts w:hint="eastAsia" w:ascii="Times New Roman" w:hAnsi="Times New Roman"/>
          <w:color w:val="auto"/>
          <w:sz w:val="24"/>
          <w:szCs w:val="24"/>
          <w:highlight w:val="none"/>
        </w:rPr>
        <w:t>锚固件数量、锚固位置、锚固深度和拉拔力应符合设计要求。后置锚固件应进行锚固力现场拉拔试验。</w:t>
      </w:r>
    </w:p>
    <w:p>
      <w:pPr>
        <w:spacing w:line="360" w:lineRule="auto"/>
        <w:ind w:firstLine="480" w:firstLineChars="200"/>
        <w:rPr>
          <w:rFonts w:ascii="Times New Roman" w:hAnsi="Times New Roman"/>
          <w:color w:val="auto"/>
          <w:sz w:val="24"/>
          <w:szCs w:val="24"/>
          <w:highlight w:val="none"/>
        </w:rPr>
      </w:pPr>
      <w:r>
        <w:rPr>
          <w:rFonts w:hint="eastAsia" w:ascii="Times New Roman" w:hAnsi="Times New Roman"/>
          <w:color w:val="auto"/>
          <w:sz w:val="24"/>
          <w:szCs w:val="24"/>
          <w:highlight w:val="none"/>
        </w:rPr>
        <w:t>检验方法：观察；保温材料厚度采用钢针插入或剖开尺量检查；粘结强度和锚固力核查现场拉拔试验报告；核查隐蔽工程验收记录。</w:t>
      </w:r>
    </w:p>
    <w:p>
      <w:pPr>
        <w:spacing w:line="360" w:lineRule="auto"/>
        <w:ind w:firstLine="480" w:firstLineChars="200"/>
        <w:rPr>
          <w:rFonts w:ascii="Times New Roman" w:hAnsi="Times New Roman"/>
          <w:color w:val="auto"/>
          <w:sz w:val="24"/>
          <w:szCs w:val="24"/>
          <w:highlight w:val="none"/>
        </w:rPr>
      </w:pPr>
      <w:r>
        <w:rPr>
          <w:rFonts w:hint="eastAsia" w:ascii="Times New Roman" w:hAnsi="Times New Roman"/>
          <w:color w:val="auto"/>
          <w:sz w:val="24"/>
          <w:szCs w:val="24"/>
          <w:highlight w:val="none"/>
        </w:rPr>
        <w:t>检查数量：每个检验批抽查不少于</w:t>
      </w:r>
      <w:r>
        <w:rPr>
          <w:rFonts w:ascii="Times New Roman" w:hAnsi="Times New Roman"/>
          <w:color w:val="auto"/>
          <w:sz w:val="24"/>
          <w:szCs w:val="24"/>
          <w:highlight w:val="none"/>
        </w:rPr>
        <w:t>3</w:t>
      </w:r>
      <w:r>
        <w:rPr>
          <w:rFonts w:hint="eastAsia" w:ascii="Times New Roman" w:hAnsi="Times New Roman"/>
          <w:color w:val="auto"/>
          <w:sz w:val="24"/>
          <w:szCs w:val="24"/>
          <w:highlight w:val="none"/>
        </w:rPr>
        <w:t>处。</w:t>
      </w:r>
    </w:p>
    <w:p>
      <w:pPr>
        <w:spacing w:line="360" w:lineRule="auto"/>
        <w:outlineLvl w:val="2"/>
        <w:rPr>
          <w:rFonts w:ascii="Times New Roman" w:hAnsi="Times New Roman"/>
          <w:color w:val="auto"/>
          <w:sz w:val="24"/>
          <w:szCs w:val="24"/>
          <w:highlight w:val="none"/>
        </w:rPr>
      </w:pPr>
      <w:r>
        <w:rPr>
          <w:rFonts w:hint="eastAsia" w:ascii="Times New Roman" w:hAnsi="Times New Roman"/>
          <w:b/>
          <w:color w:val="auto"/>
          <w:sz w:val="24"/>
          <w:szCs w:val="24"/>
          <w:highlight w:val="none"/>
        </w:rPr>
        <w:t>7.2</w:t>
      </w:r>
      <w:r>
        <w:rPr>
          <w:rFonts w:ascii="Times New Roman" w:hAnsi="Times New Roman"/>
          <w:b/>
          <w:color w:val="auto"/>
          <w:sz w:val="24"/>
          <w:szCs w:val="24"/>
          <w:highlight w:val="none"/>
        </w:rPr>
        <w:t>.5</w:t>
      </w:r>
      <w:r>
        <w:rPr>
          <w:rFonts w:hint="eastAsia" w:ascii="Times New Roman" w:hAnsi="Times New Roman"/>
          <w:b/>
          <w:color w:val="auto"/>
          <w:sz w:val="24"/>
          <w:szCs w:val="24"/>
          <w:highlight w:val="none"/>
          <w:lang w:val="en-US" w:eastAsia="zh-CN"/>
        </w:rPr>
        <w:t xml:space="preserve"> </w:t>
      </w:r>
      <w:r>
        <w:rPr>
          <w:rFonts w:hint="eastAsia" w:ascii="Times New Roman" w:hAnsi="Times New Roman"/>
          <w:color w:val="auto"/>
          <w:sz w:val="24"/>
          <w:szCs w:val="24"/>
          <w:highlight w:val="none"/>
        </w:rPr>
        <w:t>当设计要求设置隔汽层时，隔气层的位置、使用材料及构造做法应符合要求和有关标准的规定。隔汽层应完整、严密，穿透隔汽层处应采取密封措施。</w:t>
      </w:r>
    </w:p>
    <w:p>
      <w:pPr>
        <w:spacing w:line="360" w:lineRule="auto"/>
        <w:ind w:firstLine="480" w:firstLineChars="200"/>
        <w:rPr>
          <w:rFonts w:ascii="Times New Roman" w:hAnsi="Times New Roman"/>
          <w:color w:val="auto"/>
          <w:sz w:val="24"/>
          <w:szCs w:val="24"/>
          <w:highlight w:val="none"/>
        </w:rPr>
      </w:pPr>
      <w:r>
        <w:rPr>
          <w:rFonts w:hint="eastAsia" w:ascii="Times New Roman" w:hAnsi="Times New Roman"/>
          <w:color w:val="auto"/>
          <w:sz w:val="24"/>
          <w:szCs w:val="24"/>
          <w:highlight w:val="none"/>
        </w:rPr>
        <w:t>检验方法：对照设计观察检查；核查证明文件和隐蔽工程验收记录。</w:t>
      </w:r>
    </w:p>
    <w:p>
      <w:pPr>
        <w:spacing w:line="360" w:lineRule="auto"/>
        <w:ind w:firstLine="480" w:firstLineChars="200"/>
        <w:rPr>
          <w:rFonts w:ascii="Times New Roman" w:hAnsi="Times New Roman"/>
          <w:color w:val="auto"/>
          <w:sz w:val="24"/>
          <w:szCs w:val="24"/>
          <w:highlight w:val="none"/>
        </w:rPr>
      </w:pPr>
      <w:r>
        <w:rPr>
          <w:rFonts w:hint="eastAsia" w:ascii="Times New Roman" w:hAnsi="Times New Roman"/>
          <w:color w:val="auto"/>
          <w:sz w:val="24"/>
          <w:szCs w:val="24"/>
          <w:highlight w:val="none"/>
        </w:rPr>
        <w:t>检查数量：全数检查。</w:t>
      </w:r>
    </w:p>
    <w:p>
      <w:pPr>
        <w:spacing w:line="360" w:lineRule="auto"/>
        <w:ind w:left="241" w:hanging="241" w:hangingChars="100"/>
        <w:outlineLvl w:val="2"/>
        <w:rPr>
          <w:rFonts w:ascii="Times New Roman" w:hAnsi="Times New Roman"/>
          <w:color w:val="auto"/>
          <w:sz w:val="24"/>
          <w:szCs w:val="24"/>
          <w:highlight w:val="none"/>
        </w:rPr>
      </w:pPr>
      <w:r>
        <w:rPr>
          <w:rFonts w:hint="eastAsia" w:ascii="Times New Roman" w:hAnsi="Times New Roman"/>
          <w:b/>
          <w:color w:val="auto"/>
          <w:sz w:val="24"/>
          <w:szCs w:val="24"/>
          <w:highlight w:val="none"/>
        </w:rPr>
        <w:t>7.2</w:t>
      </w:r>
      <w:r>
        <w:rPr>
          <w:rFonts w:ascii="Times New Roman" w:hAnsi="Times New Roman"/>
          <w:b/>
          <w:color w:val="auto"/>
          <w:sz w:val="24"/>
          <w:szCs w:val="24"/>
          <w:highlight w:val="none"/>
        </w:rPr>
        <w:t xml:space="preserve">.6 </w:t>
      </w:r>
      <w:r>
        <w:rPr>
          <w:rFonts w:hint="eastAsia" w:ascii="Times New Roman" w:hAnsi="Times New Roman"/>
          <w:color w:val="auto"/>
          <w:sz w:val="24"/>
          <w:szCs w:val="24"/>
          <w:highlight w:val="none"/>
        </w:rPr>
        <w:t>门窗洞口四周墙侧面，墙体上凸窗四周的侧面，应按设计要求采取节能保温措施。</w:t>
      </w:r>
    </w:p>
    <w:p>
      <w:pPr>
        <w:spacing w:line="360" w:lineRule="auto"/>
        <w:ind w:firstLine="480" w:firstLineChars="200"/>
        <w:rPr>
          <w:rFonts w:ascii="Times New Roman" w:hAnsi="Times New Roman"/>
          <w:color w:val="auto"/>
          <w:sz w:val="24"/>
          <w:szCs w:val="24"/>
          <w:highlight w:val="none"/>
        </w:rPr>
      </w:pPr>
      <w:r>
        <w:rPr>
          <w:rFonts w:hint="eastAsia" w:ascii="Times New Roman" w:hAnsi="Times New Roman"/>
          <w:color w:val="auto"/>
          <w:sz w:val="24"/>
          <w:szCs w:val="24"/>
          <w:highlight w:val="none"/>
        </w:rPr>
        <w:t>检验方法：对照设计和施工方案现场检查；检查隐蔽工程验收。</w:t>
      </w:r>
    </w:p>
    <w:p>
      <w:pPr>
        <w:spacing w:line="360" w:lineRule="auto"/>
        <w:ind w:firstLine="480" w:firstLineChars="200"/>
        <w:rPr>
          <w:rFonts w:ascii="Times New Roman" w:hAnsi="Times New Roman"/>
          <w:b/>
          <w:color w:val="auto"/>
          <w:sz w:val="28"/>
          <w:szCs w:val="28"/>
          <w:highlight w:val="none"/>
        </w:rPr>
      </w:pPr>
      <w:r>
        <w:rPr>
          <w:rFonts w:hint="eastAsia" w:ascii="Times New Roman" w:hAnsi="Times New Roman"/>
          <w:color w:val="auto"/>
          <w:sz w:val="24"/>
          <w:szCs w:val="24"/>
          <w:highlight w:val="none"/>
        </w:rPr>
        <w:t>检查数量：每个检验批应抽查</w:t>
      </w:r>
      <w:r>
        <w:rPr>
          <w:rFonts w:ascii="Times New Roman" w:hAnsi="Times New Roman"/>
          <w:color w:val="auto"/>
          <w:sz w:val="24"/>
          <w:szCs w:val="24"/>
          <w:highlight w:val="none"/>
        </w:rPr>
        <w:t>5%</w:t>
      </w:r>
      <w:r>
        <w:rPr>
          <w:rFonts w:hint="eastAsia" w:ascii="Times New Roman" w:hAnsi="Times New Roman"/>
          <w:color w:val="auto"/>
          <w:sz w:val="24"/>
          <w:szCs w:val="24"/>
          <w:highlight w:val="none"/>
        </w:rPr>
        <w:t>，并不少于</w:t>
      </w:r>
      <w:r>
        <w:rPr>
          <w:rFonts w:ascii="Times New Roman" w:hAnsi="Times New Roman"/>
          <w:color w:val="auto"/>
          <w:sz w:val="24"/>
          <w:szCs w:val="24"/>
          <w:highlight w:val="none"/>
        </w:rPr>
        <w:t>5</w:t>
      </w:r>
      <w:r>
        <w:rPr>
          <w:rFonts w:hint="eastAsia" w:ascii="Times New Roman" w:hAnsi="Times New Roman"/>
          <w:color w:val="auto"/>
          <w:sz w:val="24"/>
          <w:szCs w:val="24"/>
          <w:highlight w:val="none"/>
        </w:rPr>
        <w:t>个洞口。</w:t>
      </w:r>
      <w:bookmarkStart w:id="267" w:name="_Toc32050"/>
      <w:bookmarkStart w:id="268" w:name="_Toc430006763"/>
      <w:bookmarkStart w:id="269" w:name="_Toc23278"/>
      <w:bookmarkStart w:id="270" w:name="_Toc27134"/>
    </w:p>
    <w:p>
      <w:pPr>
        <w:pStyle w:val="5"/>
        <w:bidi w:val="0"/>
        <w:rPr>
          <w:color w:val="auto"/>
          <w:highlight w:val="none"/>
        </w:rPr>
      </w:pPr>
      <w:bookmarkStart w:id="271" w:name="_Toc12405"/>
      <w:r>
        <w:rPr>
          <w:rFonts w:hint="eastAsia"/>
          <w:color w:val="auto"/>
          <w:highlight w:val="none"/>
        </w:rPr>
        <w:t>7.3</w:t>
      </w:r>
      <w:r>
        <w:rPr>
          <w:color w:val="auto"/>
          <w:highlight w:val="none"/>
        </w:rPr>
        <w:t xml:space="preserve"> </w:t>
      </w:r>
      <w:r>
        <w:rPr>
          <w:rFonts w:hint="eastAsia"/>
          <w:color w:val="auto"/>
          <w:highlight w:val="none"/>
        </w:rPr>
        <w:t>一般项目</w:t>
      </w:r>
      <w:bookmarkEnd w:id="267"/>
      <w:bookmarkEnd w:id="268"/>
      <w:bookmarkEnd w:id="269"/>
      <w:bookmarkEnd w:id="270"/>
      <w:bookmarkEnd w:id="271"/>
    </w:p>
    <w:p>
      <w:pPr>
        <w:spacing w:line="360" w:lineRule="auto"/>
        <w:outlineLvl w:val="2"/>
        <w:rPr>
          <w:rFonts w:ascii="Times New Roman" w:hAnsi="Times New Roman"/>
          <w:color w:val="auto"/>
          <w:sz w:val="24"/>
          <w:szCs w:val="24"/>
          <w:highlight w:val="none"/>
        </w:rPr>
      </w:pPr>
      <w:r>
        <w:rPr>
          <w:rFonts w:hint="eastAsia" w:ascii="Times New Roman" w:hAnsi="Times New Roman"/>
          <w:b/>
          <w:color w:val="auto"/>
          <w:sz w:val="24"/>
          <w:szCs w:val="24"/>
          <w:highlight w:val="none"/>
        </w:rPr>
        <w:t>7.3</w:t>
      </w:r>
      <w:r>
        <w:rPr>
          <w:rFonts w:ascii="Times New Roman" w:hAnsi="Times New Roman"/>
          <w:b/>
          <w:color w:val="auto"/>
          <w:sz w:val="24"/>
          <w:szCs w:val="24"/>
          <w:highlight w:val="none"/>
        </w:rPr>
        <w:t>.1</w:t>
      </w:r>
      <w:r>
        <w:rPr>
          <w:rFonts w:hint="eastAsia" w:ascii="Times New Roman" w:hAnsi="Times New Roman"/>
          <w:b/>
          <w:color w:val="auto"/>
          <w:sz w:val="24"/>
          <w:szCs w:val="24"/>
          <w:highlight w:val="none"/>
          <w:lang w:val="en-US" w:eastAsia="zh-CN"/>
        </w:rPr>
        <w:t xml:space="preserve"> </w:t>
      </w:r>
      <w:r>
        <w:rPr>
          <w:rFonts w:hint="eastAsia" w:ascii="Times New Roman" w:hAnsi="Times New Roman"/>
          <w:color w:val="auto"/>
          <w:sz w:val="24"/>
          <w:szCs w:val="24"/>
          <w:highlight w:val="none"/>
        </w:rPr>
        <w:t>内保温系统工程用材料与构件的外观和包装应完整无破损，保温复合板应平整、洁净、无歪斜和裂缝；色泽应均匀一致，无发花现象。</w:t>
      </w:r>
    </w:p>
    <w:p>
      <w:pPr>
        <w:spacing w:line="360" w:lineRule="auto"/>
        <w:ind w:firstLine="480" w:firstLineChars="200"/>
        <w:rPr>
          <w:rFonts w:ascii="Times New Roman" w:hAnsi="Times New Roman"/>
          <w:color w:val="auto"/>
          <w:sz w:val="24"/>
          <w:szCs w:val="24"/>
          <w:highlight w:val="none"/>
        </w:rPr>
      </w:pPr>
      <w:r>
        <w:rPr>
          <w:rFonts w:hint="eastAsia" w:ascii="Times New Roman" w:hAnsi="Times New Roman"/>
          <w:color w:val="auto"/>
          <w:sz w:val="24"/>
          <w:szCs w:val="24"/>
          <w:highlight w:val="none"/>
        </w:rPr>
        <w:t>检验方法：观察检查；核查出厂合格证和产品包装。</w:t>
      </w:r>
    </w:p>
    <w:p>
      <w:pPr>
        <w:spacing w:line="360" w:lineRule="auto"/>
        <w:ind w:firstLine="480" w:firstLineChars="200"/>
        <w:rPr>
          <w:rFonts w:ascii="Times New Roman" w:hAnsi="Times New Roman"/>
          <w:color w:val="auto"/>
          <w:sz w:val="24"/>
          <w:szCs w:val="24"/>
          <w:highlight w:val="none"/>
        </w:rPr>
      </w:pPr>
      <w:r>
        <w:rPr>
          <w:rFonts w:hint="eastAsia" w:ascii="Times New Roman" w:hAnsi="Times New Roman"/>
          <w:color w:val="auto"/>
          <w:sz w:val="24"/>
          <w:szCs w:val="24"/>
          <w:highlight w:val="none"/>
        </w:rPr>
        <w:t>检查数量：全数检查。</w:t>
      </w:r>
    </w:p>
    <w:p>
      <w:pPr>
        <w:spacing w:line="360" w:lineRule="auto"/>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【条文说明】7.3.1在出厂运输和装卸过程中，对保温装饰板入场产品外观的保护是保证施工质量的重要工作，应引起重视。</w:t>
      </w:r>
    </w:p>
    <w:p>
      <w:pPr>
        <w:spacing w:line="360" w:lineRule="auto"/>
        <w:outlineLvl w:val="2"/>
        <w:rPr>
          <w:rFonts w:ascii="Times New Roman" w:hAnsi="Times New Roman"/>
          <w:color w:val="auto"/>
          <w:sz w:val="24"/>
          <w:szCs w:val="24"/>
          <w:highlight w:val="none"/>
        </w:rPr>
      </w:pPr>
      <w:r>
        <w:rPr>
          <w:rFonts w:hint="eastAsia" w:ascii="Times New Roman" w:hAnsi="Times New Roman"/>
          <w:b/>
          <w:color w:val="auto"/>
          <w:sz w:val="24"/>
          <w:szCs w:val="24"/>
          <w:highlight w:val="none"/>
        </w:rPr>
        <w:t>7.3</w:t>
      </w:r>
      <w:r>
        <w:rPr>
          <w:rFonts w:ascii="Times New Roman" w:hAnsi="Times New Roman"/>
          <w:b/>
          <w:color w:val="auto"/>
          <w:sz w:val="24"/>
          <w:szCs w:val="24"/>
          <w:highlight w:val="none"/>
        </w:rPr>
        <w:t xml:space="preserve">.2 </w:t>
      </w:r>
      <w:r>
        <w:rPr>
          <w:rFonts w:hint="eastAsia" w:ascii="Times New Roman" w:hAnsi="Times New Roman"/>
          <w:color w:val="auto"/>
          <w:sz w:val="24"/>
          <w:szCs w:val="24"/>
          <w:highlight w:val="none"/>
        </w:rPr>
        <w:t>施工产生的墙体缺陷，如穿墙套管、脚手架眼、管线槽等，应根据施工方案采取填补补齐或补强措施处理，不影响墙体的热工性能。</w:t>
      </w:r>
    </w:p>
    <w:p>
      <w:pPr>
        <w:spacing w:line="360" w:lineRule="auto"/>
        <w:ind w:firstLine="480" w:firstLineChars="200"/>
        <w:rPr>
          <w:rFonts w:ascii="Times New Roman" w:hAnsi="Times New Roman"/>
          <w:color w:val="auto"/>
          <w:sz w:val="24"/>
          <w:szCs w:val="24"/>
          <w:highlight w:val="none"/>
        </w:rPr>
      </w:pPr>
      <w:r>
        <w:rPr>
          <w:rFonts w:hint="eastAsia" w:ascii="Times New Roman" w:hAnsi="Times New Roman"/>
          <w:color w:val="auto"/>
          <w:sz w:val="24"/>
          <w:szCs w:val="24"/>
          <w:highlight w:val="none"/>
        </w:rPr>
        <w:t>检验方法：观察、触摸、敲击检查。</w:t>
      </w:r>
    </w:p>
    <w:p>
      <w:pPr>
        <w:spacing w:line="360" w:lineRule="auto"/>
        <w:ind w:firstLine="480" w:firstLineChars="200"/>
        <w:rPr>
          <w:rFonts w:ascii="Times New Roman" w:hAnsi="Times New Roman"/>
          <w:color w:val="auto"/>
          <w:sz w:val="24"/>
          <w:szCs w:val="24"/>
          <w:highlight w:val="none"/>
        </w:rPr>
      </w:pPr>
      <w:r>
        <w:rPr>
          <w:rFonts w:hint="eastAsia" w:ascii="Times New Roman" w:hAnsi="Times New Roman"/>
          <w:color w:val="auto"/>
          <w:sz w:val="24"/>
          <w:szCs w:val="24"/>
          <w:highlight w:val="none"/>
        </w:rPr>
        <w:t>检查数量：全数检查。</w:t>
      </w:r>
    </w:p>
    <w:p>
      <w:pPr>
        <w:spacing w:line="360" w:lineRule="auto"/>
        <w:ind w:firstLine="480" w:firstLineChars="200"/>
        <w:rPr>
          <w:rFonts w:hint="eastAsia" w:ascii="楷体" w:hAnsi="楷体" w:eastAsia="楷体"/>
          <w:color w:val="auto"/>
          <w:sz w:val="24"/>
          <w:szCs w:val="24"/>
          <w:highlight w:val="none"/>
        </w:rPr>
      </w:pPr>
      <w:r>
        <w:rPr>
          <w:rFonts w:hint="eastAsia" w:ascii="楷体" w:hAnsi="楷体" w:eastAsia="楷体"/>
          <w:color w:val="auto"/>
          <w:sz w:val="24"/>
          <w:szCs w:val="24"/>
          <w:highlight w:val="none"/>
        </w:rPr>
        <w:t>【条文说明】7.3.2本条所指出的部位在施工中容易被忽视，且在各工序交叉施工中容易多次损坏，因此要重视这些部位，按设计要求或施工方案采取隔断措施。</w:t>
      </w:r>
    </w:p>
    <w:p>
      <w:pPr>
        <w:spacing w:line="360" w:lineRule="auto"/>
        <w:outlineLvl w:val="2"/>
        <w:rPr>
          <w:rFonts w:ascii="Times New Roman" w:hAnsi="Times New Roman"/>
          <w:color w:val="auto"/>
          <w:sz w:val="24"/>
          <w:szCs w:val="24"/>
          <w:highlight w:val="none"/>
        </w:rPr>
      </w:pPr>
      <w:r>
        <w:rPr>
          <w:rFonts w:hint="eastAsia" w:ascii="Times New Roman" w:hAnsi="Times New Roman"/>
          <w:b/>
          <w:color w:val="auto"/>
          <w:sz w:val="24"/>
          <w:szCs w:val="24"/>
          <w:highlight w:val="none"/>
        </w:rPr>
        <w:t>7.3</w:t>
      </w:r>
      <w:r>
        <w:rPr>
          <w:rFonts w:ascii="Times New Roman" w:hAnsi="Times New Roman"/>
          <w:b/>
          <w:color w:val="auto"/>
          <w:sz w:val="24"/>
          <w:szCs w:val="24"/>
          <w:highlight w:val="none"/>
        </w:rPr>
        <w:t xml:space="preserve">.3 </w:t>
      </w:r>
      <w:r>
        <w:rPr>
          <w:rFonts w:hint="eastAsia" w:ascii="Times New Roman" w:hAnsi="Times New Roman"/>
          <w:color w:val="auto"/>
          <w:sz w:val="24"/>
          <w:szCs w:val="24"/>
          <w:highlight w:val="none"/>
        </w:rPr>
        <w:t>保温复合板的安装接缝应符合施工方案的要求，接茬应平顺、填料应密实。</w:t>
      </w:r>
    </w:p>
    <w:p>
      <w:pPr>
        <w:spacing w:line="360" w:lineRule="auto"/>
        <w:ind w:firstLine="480" w:firstLineChars="200"/>
        <w:rPr>
          <w:rFonts w:ascii="Times New Roman" w:hAnsi="Times New Roman"/>
          <w:color w:val="auto"/>
          <w:sz w:val="24"/>
          <w:szCs w:val="24"/>
          <w:highlight w:val="none"/>
        </w:rPr>
      </w:pPr>
      <w:r>
        <w:rPr>
          <w:rFonts w:hint="eastAsia" w:ascii="Times New Roman" w:hAnsi="Times New Roman"/>
          <w:color w:val="auto"/>
          <w:sz w:val="24"/>
          <w:szCs w:val="24"/>
          <w:highlight w:val="none"/>
        </w:rPr>
        <w:t>检验方法：观察、触摸、敲击检查，核查施工记录。</w:t>
      </w:r>
    </w:p>
    <w:p>
      <w:pPr>
        <w:spacing w:line="360" w:lineRule="auto"/>
        <w:ind w:firstLine="480" w:firstLineChars="200"/>
        <w:rPr>
          <w:rFonts w:ascii="Times New Roman" w:hAnsi="Times New Roman"/>
          <w:color w:val="auto"/>
          <w:sz w:val="24"/>
          <w:szCs w:val="24"/>
          <w:highlight w:val="none"/>
        </w:rPr>
      </w:pPr>
      <w:r>
        <w:rPr>
          <w:rFonts w:hint="eastAsia" w:ascii="Times New Roman" w:hAnsi="Times New Roman"/>
          <w:color w:val="auto"/>
          <w:sz w:val="24"/>
          <w:szCs w:val="24"/>
          <w:highlight w:val="none"/>
        </w:rPr>
        <w:t>检查数量：每个检验批抽查</w:t>
      </w:r>
      <w:r>
        <w:rPr>
          <w:rFonts w:ascii="Times New Roman" w:hAnsi="Times New Roman"/>
          <w:color w:val="auto"/>
          <w:sz w:val="24"/>
          <w:szCs w:val="24"/>
          <w:highlight w:val="none"/>
        </w:rPr>
        <w:t>10%</w:t>
      </w:r>
      <w:r>
        <w:rPr>
          <w:rFonts w:hint="eastAsia" w:ascii="Times New Roman" w:hAnsi="Times New Roman"/>
          <w:color w:val="auto"/>
          <w:sz w:val="24"/>
          <w:szCs w:val="24"/>
          <w:highlight w:val="none"/>
        </w:rPr>
        <w:t>，并不少于</w:t>
      </w:r>
      <w:r>
        <w:rPr>
          <w:rFonts w:ascii="Times New Roman" w:hAnsi="Times New Roman"/>
          <w:color w:val="auto"/>
          <w:sz w:val="24"/>
          <w:szCs w:val="24"/>
          <w:highlight w:val="none"/>
        </w:rPr>
        <w:t>5</w:t>
      </w:r>
      <w:r>
        <w:rPr>
          <w:rFonts w:hint="eastAsia" w:ascii="Times New Roman" w:hAnsi="Times New Roman"/>
          <w:color w:val="auto"/>
          <w:sz w:val="24"/>
          <w:szCs w:val="24"/>
          <w:highlight w:val="none"/>
        </w:rPr>
        <w:t>处。</w:t>
      </w:r>
    </w:p>
    <w:p>
      <w:pPr>
        <w:spacing w:line="360" w:lineRule="auto"/>
        <w:outlineLvl w:val="2"/>
        <w:rPr>
          <w:rFonts w:ascii="Times New Roman" w:hAnsi="Times New Roman"/>
          <w:color w:val="auto"/>
          <w:sz w:val="24"/>
          <w:szCs w:val="24"/>
          <w:highlight w:val="none"/>
        </w:rPr>
      </w:pPr>
      <w:r>
        <w:rPr>
          <w:rFonts w:hint="eastAsia" w:ascii="Times New Roman" w:hAnsi="Times New Roman"/>
          <w:b/>
          <w:color w:val="auto"/>
          <w:sz w:val="24"/>
          <w:szCs w:val="24"/>
          <w:highlight w:val="none"/>
        </w:rPr>
        <w:t>7.3</w:t>
      </w:r>
      <w:r>
        <w:rPr>
          <w:rFonts w:ascii="Times New Roman" w:hAnsi="Times New Roman"/>
          <w:b/>
          <w:color w:val="auto"/>
          <w:sz w:val="24"/>
          <w:szCs w:val="24"/>
          <w:highlight w:val="none"/>
        </w:rPr>
        <w:t>.4</w:t>
      </w:r>
      <w:r>
        <w:rPr>
          <w:rFonts w:hint="eastAsia" w:ascii="Times New Roman" w:hAnsi="Times New Roman"/>
          <w:b/>
          <w:color w:val="auto"/>
          <w:sz w:val="24"/>
          <w:szCs w:val="24"/>
          <w:highlight w:val="none"/>
          <w:lang w:val="en-US" w:eastAsia="zh-CN"/>
        </w:rPr>
        <w:t xml:space="preserve"> </w:t>
      </w:r>
      <w:r>
        <w:rPr>
          <w:rFonts w:hint="eastAsia" w:ascii="Times New Roman" w:hAnsi="Times New Roman"/>
          <w:color w:val="auto"/>
          <w:sz w:val="24"/>
          <w:szCs w:val="24"/>
          <w:highlight w:val="none"/>
        </w:rPr>
        <w:t>墙体上容易碰撞的阳角、门窗洞口及不同材料基层的交接处等特殊部位，应采取板面开裂和破损的防护措施。</w:t>
      </w:r>
    </w:p>
    <w:p>
      <w:pPr>
        <w:spacing w:line="360" w:lineRule="auto"/>
        <w:ind w:firstLine="480" w:firstLineChars="200"/>
        <w:rPr>
          <w:rFonts w:ascii="Times New Roman" w:hAnsi="Times New Roman"/>
          <w:color w:val="auto"/>
          <w:sz w:val="24"/>
          <w:szCs w:val="24"/>
          <w:highlight w:val="none"/>
        </w:rPr>
      </w:pPr>
      <w:r>
        <w:rPr>
          <w:rFonts w:hint="eastAsia" w:ascii="Times New Roman" w:hAnsi="Times New Roman"/>
          <w:color w:val="auto"/>
          <w:sz w:val="24"/>
          <w:szCs w:val="24"/>
          <w:highlight w:val="none"/>
        </w:rPr>
        <w:t>检验方法：观察、敲击检查；核查施工记录和隐蔽工程验收记录。</w:t>
      </w:r>
    </w:p>
    <w:p>
      <w:pPr>
        <w:spacing w:line="360" w:lineRule="auto"/>
        <w:ind w:firstLine="480" w:firstLineChars="200"/>
        <w:rPr>
          <w:rFonts w:ascii="Times New Roman" w:hAnsi="Times New Roman"/>
          <w:color w:val="auto"/>
          <w:sz w:val="24"/>
          <w:szCs w:val="24"/>
          <w:highlight w:val="none"/>
        </w:rPr>
      </w:pPr>
      <w:r>
        <w:rPr>
          <w:rFonts w:hint="eastAsia" w:ascii="Times New Roman" w:hAnsi="Times New Roman"/>
          <w:color w:val="auto"/>
          <w:sz w:val="24"/>
          <w:szCs w:val="24"/>
          <w:highlight w:val="none"/>
        </w:rPr>
        <w:t>检查数量：按不同部位，每类抽查</w:t>
      </w:r>
      <w:r>
        <w:rPr>
          <w:rFonts w:ascii="Times New Roman" w:hAnsi="Times New Roman"/>
          <w:color w:val="auto"/>
          <w:sz w:val="24"/>
          <w:szCs w:val="24"/>
          <w:highlight w:val="none"/>
        </w:rPr>
        <w:t>10%</w:t>
      </w:r>
      <w:r>
        <w:rPr>
          <w:rFonts w:hint="eastAsia" w:ascii="Times New Roman" w:hAnsi="Times New Roman"/>
          <w:color w:val="auto"/>
          <w:sz w:val="24"/>
          <w:szCs w:val="24"/>
          <w:highlight w:val="none"/>
        </w:rPr>
        <w:t>，并不少于</w:t>
      </w:r>
      <w:r>
        <w:rPr>
          <w:rFonts w:ascii="Times New Roman" w:hAnsi="Times New Roman"/>
          <w:color w:val="auto"/>
          <w:sz w:val="24"/>
          <w:szCs w:val="24"/>
          <w:highlight w:val="none"/>
        </w:rPr>
        <w:t>5</w:t>
      </w:r>
      <w:r>
        <w:rPr>
          <w:rFonts w:hint="eastAsia" w:ascii="Times New Roman" w:hAnsi="Times New Roman"/>
          <w:color w:val="auto"/>
          <w:sz w:val="24"/>
          <w:szCs w:val="24"/>
          <w:highlight w:val="none"/>
        </w:rPr>
        <w:t>处。</w:t>
      </w:r>
    </w:p>
    <w:p>
      <w:pPr>
        <w:spacing w:line="360" w:lineRule="auto"/>
        <w:outlineLvl w:val="2"/>
        <w:rPr>
          <w:rFonts w:ascii="Times New Roman" w:hAnsi="Times New Roman"/>
          <w:color w:val="auto"/>
          <w:sz w:val="24"/>
          <w:szCs w:val="24"/>
          <w:highlight w:val="none"/>
        </w:rPr>
      </w:pPr>
      <w:r>
        <w:rPr>
          <w:rFonts w:hint="eastAsia" w:ascii="Times New Roman" w:hAnsi="Times New Roman"/>
          <w:b/>
          <w:color w:val="auto"/>
          <w:sz w:val="24"/>
          <w:szCs w:val="24"/>
          <w:highlight w:val="none"/>
        </w:rPr>
        <w:t>7.3</w:t>
      </w:r>
      <w:r>
        <w:rPr>
          <w:rFonts w:ascii="Times New Roman" w:hAnsi="Times New Roman"/>
          <w:b/>
          <w:color w:val="auto"/>
          <w:sz w:val="24"/>
          <w:szCs w:val="24"/>
          <w:highlight w:val="none"/>
        </w:rPr>
        <w:t>.5</w:t>
      </w:r>
      <w:r>
        <w:rPr>
          <w:rFonts w:hint="eastAsia" w:ascii="Times New Roman" w:hAnsi="Times New Roman"/>
          <w:b/>
          <w:color w:val="auto"/>
          <w:sz w:val="24"/>
          <w:szCs w:val="24"/>
          <w:highlight w:val="none"/>
          <w:lang w:val="en-US" w:eastAsia="zh-CN"/>
        </w:rPr>
        <w:t xml:space="preserve"> </w:t>
      </w:r>
      <w:r>
        <w:rPr>
          <w:rFonts w:hint="eastAsia" w:ascii="Times New Roman" w:hAnsi="Times New Roman"/>
          <w:color w:val="auto"/>
          <w:sz w:val="24"/>
          <w:szCs w:val="24"/>
          <w:highlight w:val="none"/>
        </w:rPr>
        <w:t>内保温系统安装的允许偏差和检验方法应符合表7.3</w:t>
      </w:r>
      <w:r>
        <w:rPr>
          <w:rFonts w:ascii="Times New Roman" w:hAnsi="Times New Roman"/>
          <w:color w:val="auto"/>
          <w:sz w:val="24"/>
          <w:szCs w:val="24"/>
          <w:highlight w:val="none"/>
        </w:rPr>
        <w:t>.5</w:t>
      </w:r>
      <w:r>
        <w:rPr>
          <w:rFonts w:hint="eastAsia" w:ascii="Times New Roman" w:hAnsi="Times New Roman"/>
          <w:color w:val="auto"/>
          <w:sz w:val="24"/>
          <w:szCs w:val="24"/>
          <w:highlight w:val="none"/>
        </w:rPr>
        <w:t>的规定。</w:t>
      </w:r>
    </w:p>
    <w:p>
      <w:pPr>
        <w:spacing w:before="312" w:beforeLines="100"/>
        <w:ind w:firstLine="482"/>
        <w:jc w:val="center"/>
        <w:rPr>
          <w:b/>
          <w:color w:val="auto"/>
          <w:szCs w:val="21"/>
          <w:highlight w:val="none"/>
        </w:rPr>
      </w:pPr>
      <w:r>
        <w:rPr>
          <w:b/>
          <w:color w:val="auto"/>
          <w:szCs w:val="21"/>
          <w:highlight w:val="none"/>
        </w:rPr>
        <w:t>表</w:t>
      </w:r>
      <w:r>
        <w:rPr>
          <w:rFonts w:hint="eastAsia"/>
          <w:b/>
          <w:color w:val="auto"/>
          <w:szCs w:val="21"/>
          <w:highlight w:val="none"/>
        </w:rPr>
        <w:t>7.3</w:t>
      </w:r>
      <w:r>
        <w:rPr>
          <w:b/>
          <w:color w:val="auto"/>
          <w:szCs w:val="21"/>
          <w:highlight w:val="none"/>
        </w:rPr>
        <w:t>.5 安装允许偏差和检查方法</w:t>
      </w:r>
    </w:p>
    <w:tbl>
      <w:tblPr>
        <w:tblStyle w:val="24"/>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9"/>
        <w:gridCol w:w="2338"/>
        <w:gridCol w:w="2124"/>
        <w:gridCol w:w="3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9" w:type="dxa"/>
            <w:noWrap/>
            <w:vAlign w:val="center"/>
          </w:tcPr>
          <w:p>
            <w:pPr>
              <w:jc w:val="center"/>
              <w:rPr>
                <w:color w:val="auto"/>
                <w:szCs w:val="21"/>
                <w:highlight w:val="none"/>
              </w:rPr>
            </w:pPr>
            <w:bookmarkStart w:id="272" w:name="_Toc449342739"/>
            <w:bookmarkStart w:id="273" w:name="_Toc16115"/>
            <w:bookmarkStart w:id="274" w:name="_Toc448147356"/>
            <w:bookmarkStart w:id="275" w:name="_Toc448144020"/>
            <w:bookmarkStart w:id="276" w:name="_Toc429749159"/>
            <w:bookmarkStart w:id="277" w:name="_Toc450220133"/>
            <w:r>
              <w:rPr>
                <w:color w:val="auto"/>
                <w:szCs w:val="21"/>
                <w:highlight w:val="none"/>
              </w:rPr>
              <w:t>项次</w:t>
            </w:r>
          </w:p>
        </w:tc>
        <w:tc>
          <w:tcPr>
            <w:tcW w:w="2338" w:type="dxa"/>
            <w:noWrap/>
            <w:vAlign w:val="center"/>
          </w:tcPr>
          <w:p>
            <w:pPr>
              <w:jc w:val="center"/>
              <w:rPr>
                <w:color w:val="auto"/>
                <w:szCs w:val="21"/>
                <w:highlight w:val="none"/>
              </w:rPr>
            </w:pPr>
            <w:r>
              <w:rPr>
                <w:color w:val="auto"/>
                <w:szCs w:val="21"/>
                <w:highlight w:val="none"/>
              </w:rPr>
              <w:t>项目</w:t>
            </w:r>
          </w:p>
        </w:tc>
        <w:tc>
          <w:tcPr>
            <w:tcW w:w="2124" w:type="dxa"/>
            <w:noWrap/>
            <w:vAlign w:val="center"/>
          </w:tcPr>
          <w:p>
            <w:pPr>
              <w:jc w:val="center"/>
              <w:rPr>
                <w:color w:val="auto"/>
                <w:szCs w:val="21"/>
                <w:highlight w:val="none"/>
              </w:rPr>
            </w:pPr>
            <w:r>
              <w:rPr>
                <w:color w:val="auto"/>
                <w:szCs w:val="21"/>
                <w:highlight w:val="none"/>
              </w:rPr>
              <w:t>允许偏差（mm）</w:t>
            </w:r>
          </w:p>
        </w:tc>
        <w:tc>
          <w:tcPr>
            <w:tcW w:w="3800" w:type="dxa"/>
            <w:noWrap/>
            <w:vAlign w:val="center"/>
          </w:tcPr>
          <w:p>
            <w:pPr>
              <w:jc w:val="center"/>
              <w:rPr>
                <w:color w:val="auto"/>
                <w:szCs w:val="21"/>
                <w:highlight w:val="none"/>
              </w:rPr>
            </w:pPr>
            <w:r>
              <w:rPr>
                <w:color w:val="auto"/>
                <w:szCs w:val="21"/>
                <w:highlight w:val="none"/>
              </w:rPr>
              <w:t>检查方法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9" w:type="dxa"/>
            <w:noWrap/>
            <w:vAlign w:val="center"/>
          </w:tcPr>
          <w:p>
            <w:pPr>
              <w:jc w:val="center"/>
              <w:rPr>
                <w:color w:val="auto"/>
                <w:szCs w:val="21"/>
                <w:highlight w:val="none"/>
              </w:rPr>
            </w:pPr>
            <w:r>
              <w:rPr>
                <w:color w:val="auto"/>
                <w:szCs w:val="21"/>
                <w:highlight w:val="none"/>
              </w:rPr>
              <w:t>1</w:t>
            </w:r>
          </w:p>
        </w:tc>
        <w:tc>
          <w:tcPr>
            <w:tcW w:w="2338" w:type="dxa"/>
            <w:noWrap/>
            <w:vAlign w:val="center"/>
          </w:tcPr>
          <w:p>
            <w:pPr>
              <w:jc w:val="center"/>
              <w:rPr>
                <w:color w:val="auto"/>
                <w:szCs w:val="21"/>
                <w:highlight w:val="none"/>
              </w:rPr>
            </w:pPr>
            <w:r>
              <w:rPr>
                <w:color w:val="auto"/>
                <w:szCs w:val="21"/>
                <w:highlight w:val="none"/>
              </w:rPr>
              <w:t>表面平整度</w:t>
            </w:r>
          </w:p>
        </w:tc>
        <w:tc>
          <w:tcPr>
            <w:tcW w:w="2124" w:type="dxa"/>
            <w:noWrap/>
            <w:vAlign w:val="center"/>
          </w:tcPr>
          <w:p>
            <w:pPr>
              <w:jc w:val="center"/>
              <w:rPr>
                <w:color w:val="auto"/>
                <w:szCs w:val="21"/>
                <w:highlight w:val="none"/>
              </w:rPr>
            </w:pPr>
            <w:r>
              <w:rPr>
                <w:rFonts w:hint="eastAsia" w:ascii="宋体" w:hAnsi="宋体"/>
                <w:color w:val="auto"/>
                <w:szCs w:val="21"/>
                <w:highlight w:val="none"/>
              </w:rPr>
              <w:t>≤3</w:t>
            </w:r>
          </w:p>
        </w:tc>
        <w:tc>
          <w:tcPr>
            <w:tcW w:w="3800" w:type="dxa"/>
            <w:noWrap/>
            <w:vAlign w:val="center"/>
          </w:tcPr>
          <w:p>
            <w:pPr>
              <w:jc w:val="center"/>
              <w:rPr>
                <w:color w:val="auto"/>
                <w:szCs w:val="21"/>
                <w:highlight w:val="none"/>
              </w:rPr>
            </w:pPr>
            <w:r>
              <w:rPr>
                <w:rFonts w:hint="eastAsia"/>
                <w:color w:val="auto"/>
                <w:szCs w:val="21"/>
                <w:highlight w:val="none"/>
              </w:rPr>
              <w:t>用</w:t>
            </w:r>
            <w:r>
              <w:rPr>
                <w:color w:val="auto"/>
                <w:szCs w:val="21"/>
                <w:highlight w:val="none"/>
              </w:rPr>
              <w:t>2m靠尺</w:t>
            </w:r>
            <w:r>
              <w:rPr>
                <w:rFonts w:hint="eastAsia"/>
                <w:color w:val="auto"/>
                <w:szCs w:val="21"/>
                <w:highlight w:val="none"/>
              </w:rPr>
              <w:t>和楔形</w:t>
            </w:r>
            <w:r>
              <w:rPr>
                <w:color w:val="auto"/>
                <w:szCs w:val="21"/>
                <w:highlight w:val="none"/>
              </w:rPr>
              <w:t>塞尺检查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9" w:type="dxa"/>
            <w:noWrap/>
            <w:vAlign w:val="center"/>
          </w:tcPr>
          <w:p>
            <w:pPr>
              <w:jc w:val="center"/>
              <w:rPr>
                <w:color w:val="auto"/>
                <w:szCs w:val="21"/>
                <w:highlight w:val="none"/>
              </w:rPr>
            </w:pPr>
            <w:r>
              <w:rPr>
                <w:color w:val="auto"/>
                <w:szCs w:val="21"/>
                <w:highlight w:val="none"/>
              </w:rPr>
              <w:t>2</w:t>
            </w:r>
          </w:p>
        </w:tc>
        <w:tc>
          <w:tcPr>
            <w:tcW w:w="2338" w:type="dxa"/>
            <w:noWrap/>
            <w:vAlign w:val="center"/>
          </w:tcPr>
          <w:p>
            <w:pPr>
              <w:jc w:val="center"/>
              <w:rPr>
                <w:color w:val="auto"/>
                <w:szCs w:val="21"/>
                <w:highlight w:val="none"/>
              </w:rPr>
            </w:pPr>
            <w:r>
              <w:rPr>
                <w:rFonts w:hint="eastAsia"/>
                <w:color w:val="auto"/>
                <w:szCs w:val="21"/>
                <w:highlight w:val="none"/>
              </w:rPr>
              <w:t>立面</w:t>
            </w:r>
            <w:r>
              <w:rPr>
                <w:color w:val="auto"/>
                <w:szCs w:val="21"/>
                <w:highlight w:val="none"/>
              </w:rPr>
              <w:t>垂直度</w:t>
            </w:r>
          </w:p>
        </w:tc>
        <w:tc>
          <w:tcPr>
            <w:tcW w:w="2124" w:type="dxa"/>
            <w:noWrap/>
            <w:vAlign w:val="center"/>
          </w:tcPr>
          <w:p>
            <w:pPr>
              <w:jc w:val="center"/>
              <w:rPr>
                <w:color w:val="auto"/>
                <w:szCs w:val="21"/>
                <w:highlight w:val="none"/>
              </w:rPr>
            </w:pPr>
            <w:r>
              <w:rPr>
                <w:rFonts w:hint="eastAsia" w:ascii="宋体" w:hAnsi="宋体"/>
                <w:color w:val="auto"/>
                <w:szCs w:val="21"/>
                <w:highlight w:val="none"/>
              </w:rPr>
              <w:t>≤3</w:t>
            </w:r>
          </w:p>
        </w:tc>
        <w:tc>
          <w:tcPr>
            <w:tcW w:w="3800" w:type="dxa"/>
            <w:noWrap/>
            <w:vAlign w:val="center"/>
          </w:tcPr>
          <w:p>
            <w:pPr>
              <w:jc w:val="center"/>
              <w:rPr>
                <w:color w:val="auto"/>
                <w:szCs w:val="21"/>
                <w:highlight w:val="none"/>
              </w:rPr>
            </w:pPr>
            <w:r>
              <w:rPr>
                <w:rFonts w:hint="eastAsia"/>
                <w:color w:val="auto"/>
                <w:szCs w:val="21"/>
                <w:highlight w:val="none"/>
              </w:rPr>
              <w:t>用2m</w:t>
            </w:r>
            <w:r>
              <w:rPr>
                <w:color w:val="auto"/>
                <w:szCs w:val="21"/>
                <w:highlight w:val="none"/>
              </w:rPr>
              <w:t>垂直</w:t>
            </w:r>
            <w:r>
              <w:rPr>
                <w:rFonts w:hint="eastAsia"/>
                <w:color w:val="auto"/>
                <w:szCs w:val="21"/>
                <w:highlight w:val="none"/>
              </w:rPr>
              <w:t>检查尺</w:t>
            </w:r>
            <w:r>
              <w:rPr>
                <w:color w:val="auto"/>
                <w:szCs w:val="21"/>
                <w:highlight w:val="none"/>
              </w:rPr>
              <w:t>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9" w:type="dxa"/>
            <w:noWrap/>
            <w:vAlign w:val="center"/>
          </w:tcPr>
          <w:p>
            <w:pPr>
              <w:jc w:val="center"/>
              <w:rPr>
                <w:color w:val="auto"/>
                <w:szCs w:val="21"/>
                <w:highlight w:val="none"/>
              </w:rPr>
            </w:pPr>
            <w:r>
              <w:rPr>
                <w:color w:val="auto"/>
                <w:szCs w:val="21"/>
                <w:highlight w:val="none"/>
              </w:rPr>
              <w:t>3</w:t>
            </w:r>
          </w:p>
        </w:tc>
        <w:tc>
          <w:tcPr>
            <w:tcW w:w="2338" w:type="dxa"/>
            <w:noWrap/>
            <w:vAlign w:val="center"/>
          </w:tcPr>
          <w:p>
            <w:pPr>
              <w:jc w:val="center"/>
              <w:rPr>
                <w:color w:val="auto"/>
                <w:szCs w:val="21"/>
                <w:highlight w:val="none"/>
              </w:rPr>
            </w:pPr>
            <w:r>
              <w:rPr>
                <w:color w:val="auto"/>
                <w:szCs w:val="21"/>
                <w:highlight w:val="none"/>
              </w:rPr>
              <w:t>阴、阳角</w:t>
            </w:r>
            <w:r>
              <w:rPr>
                <w:rFonts w:hint="eastAsia"/>
                <w:color w:val="auto"/>
                <w:szCs w:val="21"/>
                <w:highlight w:val="none"/>
              </w:rPr>
              <w:t>方正</w:t>
            </w:r>
          </w:p>
        </w:tc>
        <w:tc>
          <w:tcPr>
            <w:tcW w:w="2124" w:type="dxa"/>
            <w:noWrap/>
            <w:vAlign w:val="center"/>
          </w:tcPr>
          <w:p>
            <w:pPr>
              <w:jc w:val="center"/>
              <w:rPr>
                <w:color w:val="auto"/>
                <w:szCs w:val="21"/>
                <w:highlight w:val="none"/>
              </w:rPr>
            </w:pPr>
            <w:r>
              <w:rPr>
                <w:rFonts w:hint="eastAsia" w:ascii="宋体" w:hAnsi="宋体"/>
                <w:color w:val="auto"/>
                <w:szCs w:val="21"/>
                <w:highlight w:val="none"/>
              </w:rPr>
              <w:t>3</w:t>
            </w:r>
          </w:p>
        </w:tc>
        <w:tc>
          <w:tcPr>
            <w:tcW w:w="3800" w:type="dxa"/>
            <w:noWrap/>
            <w:vAlign w:val="center"/>
          </w:tcPr>
          <w:p>
            <w:pPr>
              <w:jc w:val="center"/>
              <w:rPr>
                <w:color w:val="auto"/>
                <w:szCs w:val="21"/>
                <w:highlight w:val="none"/>
              </w:rPr>
            </w:pPr>
            <w:r>
              <w:rPr>
                <w:rFonts w:hint="eastAsia"/>
                <w:color w:val="auto"/>
                <w:szCs w:val="21"/>
                <w:highlight w:val="none"/>
              </w:rPr>
              <w:t>用直角检查</w:t>
            </w:r>
            <w:r>
              <w:rPr>
                <w:color w:val="auto"/>
                <w:szCs w:val="21"/>
                <w:highlight w:val="none"/>
              </w:rPr>
              <w:t>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09" w:type="dxa"/>
            <w:noWrap/>
            <w:vAlign w:val="center"/>
          </w:tcPr>
          <w:p>
            <w:pPr>
              <w:jc w:val="center"/>
              <w:rPr>
                <w:color w:val="auto"/>
                <w:szCs w:val="21"/>
                <w:highlight w:val="none"/>
              </w:rPr>
            </w:pPr>
            <w:r>
              <w:rPr>
                <w:color w:val="auto"/>
                <w:szCs w:val="21"/>
                <w:highlight w:val="none"/>
              </w:rPr>
              <w:t>4</w:t>
            </w:r>
          </w:p>
        </w:tc>
        <w:tc>
          <w:tcPr>
            <w:tcW w:w="2338" w:type="dxa"/>
            <w:noWrap/>
            <w:vAlign w:val="center"/>
          </w:tcPr>
          <w:p>
            <w:pPr>
              <w:jc w:val="center"/>
              <w:rPr>
                <w:bCs/>
                <w:color w:val="auto"/>
                <w:szCs w:val="21"/>
                <w:highlight w:val="none"/>
              </w:rPr>
            </w:pPr>
            <w:r>
              <w:rPr>
                <w:bCs/>
                <w:color w:val="auto"/>
                <w:szCs w:val="21"/>
                <w:highlight w:val="none"/>
              </w:rPr>
              <w:t>接缝</w:t>
            </w:r>
            <w:r>
              <w:rPr>
                <w:rFonts w:hint="eastAsia"/>
                <w:bCs/>
                <w:color w:val="auto"/>
                <w:szCs w:val="21"/>
                <w:highlight w:val="none"/>
              </w:rPr>
              <w:t>高低差</w:t>
            </w:r>
          </w:p>
        </w:tc>
        <w:tc>
          <w:tcPr>
            <w:tcW w:w="2124" w:type="dxa"/>
            <w:noWrap/>
            <w:vAlign w:val="center"/>
          </w:tcPr>
          <w:p>
            <w:pPr>
              <w:jc w:val="center"/>
              <w:rPr>
                <w:color w:val="auto"/>
                <w:szCs w:val="21"/>
                <w:highlight w:val="none"/>
              </w:rPr>
            </w:pPr>
            <w:r>
              <w:rPr>
                <w:color w:val="auto"/>
                <w:szCs w:val="21"/>
                <w:highlight w:val="none"/>
              </w:rPr>
              <w:t>1</w:t>
            </w:r>
          </w:p>
        </w:tc>
        <w:tc>
          <w:tcPr>
            <w:tcW w:w="3800" w:type="dxa"/>
            <w:noWrap/>
            <w:vAlign w:val="center"/>
          </w:tcPr>
          <w:p>
            <w:pPr>
              <w:jc w:val="center"/>
              <w:rPr>
                <w:color w:val="auto"/>
                <w:szCs w:val="21"/>
                <w:highlight w:val="none"/>
              </w:rPr>
            </w:pPr>
            <w:r>
              <w:rPr>
                <w:rFonts w:hint="eastAsia"/>
                <w:color w:val="auto"/>
                <w:szCs w:val="21"/>
                <w:highlight w:val="none"/>
              </w:rPr>
              <w:t>用钢尺检查和塞尺检查</w:t>
            </w:r>
          </w:p>
        </w:tc>
      </w:tr>
      <w:bookmarkEnd w:id="272"/>
      <w:bookmarkEnd w:id="273"/>
      <w:bookmarkEnd w:id="274"/>
      <w:bookmarkEnd w:id="275"/>
      <w:bookmarkEnd w:id="276"/>
      <w:bookmarkEnd w:id="277"/>
    </w:tbl>
    <w:p>
      <w:pPr>
        <w:pStyle w:val="5"/>
        <w:bidi w:val="0"/>
        <w:rPr>
          <w:color w:val="auto"/>
          <w:highlight w:val="none"/>
        </w:rPr>
      </w:pPr>
      <w:bookmarkStart w:id="278" w:name="_Toc12430"/>
      <w:bookmarkStart w:id="279" w:name="_Toc19840"/>
      <w:bookmarkStart w:id="280" w:name="_Toc18113"/>
      <w:bookmarkStart w:id="281" w:name="_Toc9827"/>
      <w:bookmarkStart w:id="282" w:name="_Toc430006764"/>
      <w:r>
        <w:rPr>
          <w:rFonts w:hint="eastAsia"/>
          <w:color w:val="auto"/>
          <w:highlight w:val="none"/>
        </w:rPr>
        <w:t>7.4</w:t>
      </w:r>
      <w:r>
        <w:rPr>
          <w:color w:val="auto"/>
          <w:highlight w:val="none"/>
        </w:rPr>
        <w:t xml:space="preserve"> </w:t>
      </w:r>
      <w:r>
        <w:rPr>
          <w:rFonts w:hint="eastAsia"/>
          <w:color w:val="auto"/>
          <w:highlight w:val="none"/>
        </w:rPr>
        <w:t>验收资料</w:t>
      </w:r>
      <w:bookmarkEnd w:id="278"/>
      <w:bookmarkEnd w:id="279"/>
      <w:bookmarkEnd w:id="280"/>
      <w:bookmarkEnd w:id="281"/>
      <w:bookmarkEnd w:id="282"/>
    </w:p>
    <w:p>
      <w:pPr>
        <w:spacing w:line="360" w:lineRule="auto"/>
        <w:ind w:left="241" w:hanging="241" w:hangingChars="100"/>
        <w:outlineLvl w:val="2"/>
        <w:rPr>
          <w:rFonts w:ascii="Times New Roman" w:hAnsi="Times New Roman"/>
          <w:color w:val="auto"/>
          <w:sz w:val="24"/>
          <w:szCs w:val="24"/>
          <w:highlight w:val="none"/>
        </w:rPr>
      </w:pPr>
      <w:r>
        <w:rPr>
          <w:rFonts w:hint="eastAsia" w:ascii="Times New Roman" w:hAnsi="Times New Roman"/>
          <w:b/>
          <w:color w:val="auto"/>
          <w:sz w:val="24"/>
          <w:szCs w:val="24"/>
          <w:highlight w:val="none"/>
        </w:rPr>
        <w:t>7.4</w:t>
      </w:r>
      <w:r>
        <w:rPr>
          <w:rFonts w:ascii="Times New Roman" w:hAnsi="Times New Roman"/>
          <w:b/>
          <w:color w:val="auto"/>
          <w:sz w:val="24"/>
          <w:szCs w:val="24"/>
          <w:highlight w:val="none"/>
        </w:rPr>
        <w:t>.1</w:t>
      </w:r>
      <w:r>
        <w:rPr>
          <w:rFonts w:hint="eastAsia" w:ascii="Times New Roman" w:hAnsi="Times New Roman"/>
          <w:b/>
          <w:color w:val="auto"/>
          <w:sz w:val="24"/>
          <w:szCs w:val="24"/>
          <w:highlight w:val="none"/>
          <w:lang w:val="en-US" w:eastAsia="zh-CN"/>
        </w:rPr>
        <w:t xml:space="preserve"> </w:t>
      </w:r>
      <w:r>
        <w:rPr>
          <w:rFonts w:hint="eastAsia" w:ascii="Times New Roman" w:hAnsi="Times New Roman"/>
          <w:color w:val="auto"/>
          <w:sz w:val="24"/>
          <w:szCs w:val="24"/>
          <w:highlight w:val="none"/>
        </w:rPr>
        <w:t>内保温系统工程竣工验收应提交下列文件：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olor w:val="auto"/>
          <w:sz w:val="24"/>
          <w:szCs w:val="24"/>
          <w:highlight w:val="none"/>
          <w:lang w:eastAsia="zh-CN"/>
        </w:rPr>
      </w:pPr>
      <w:r>
        <w:rPr>
          <w:rFonts w:ascii="Times New Roman" w:hAnsi="Times New Roman"/>
          <w:color w:val="auto"/>
          <w:sz w:val="24"/>
          <w:szCs w:val="24"/>
          <w:highlight w:val="none"/>
        </w:rPr>
        <w:t>1</w:t>
      </w:r>
      <w:r>
        <w:rPr>
          <w:rFonts w:hint="eastAsia" w:ascii="Times New Roman" w:hAnsi="Times New Roman"/>
          <w:color w:val="auto"/>
          <w:sz w:val="24"/>
          <w:szCs w:val="24"/>
          <w:highlight w:val="none"/>
        </w:rPr>
        <w:t>内保温系统的设计文件、图纸会审、设计变更和洽商记录</w:t>
      </w:r>
      <w:r>
        <w:rPr>
          <w:rFonts w:hint="eastAsia" w:ascii="Times New Roman" w:hAnsi="Times New Roman"/>
          <w:color w:val="auto"/>
          <w:sz w:val="24"/>
          <w:szCs w:val="24"/>
          <w:highlight w:val="none"/>
          <w:lang w:eastAsia="zh-CN"/>
        </w:rPr>
        <w:t>。</w:t>
      </w:r>
    </w:p>
    <w:p>
      <w:pPr>
        <w:spacing w:line="360" w:lineRule="auto"/>
        <w:ind w:firstLine="480" w:firstLineChars="200"/>
        <w:rPr>
          <w:rFonts w:hint="eastAsia" w:ascii="Times New Roman" w:hAnsi="Times New Roman" w:eastAsia="宋体"/>
          <w:color w:val="auto"/>
          <w:sz w:val="24"/>
          <w:szCs w:val="24"/>
          <w:highlight w:val="none"/>
          <w:lang w:eastAsia="zh-CN"/>
        </w:rPr>
      </w:pPr>
      <w:r>
        <w:rPr>
          <w:rFonts w:ascii="Times New Roman" w:hAnsi="Times New Roman"/>
          <w:color w:val="auto"/>
          <w:sz w:val="24"/>
          <w:szCs w:val="24"/>
          <w:highlight w:val="none"/>
        </w:rPr>
        <w:t>2</w:t>
      </w:r>
      <w:r>
        <w:rPr>
          <w:rFonts w:hint="eastAsia" w:ascii="Times New Roman" w:hAnsi="Times New Roman"/>
          <w:color w:val="auto"/>
          <w:sz w:val="24"/>
          <w:szCs w:val="24"/>
          <w:highlight w:val="none"/>
        </w:rPr>
        <w:t>主要组成材料保温复合板、胶粘剂、锚固件的产品合格证、出厂检验报告、进场核查记录和复验报告</w:t>
      </w:r>
      <w:r>
        <w:rPr>
          <w:rFonts w:hint="eastAsia" w:ascii="Times New Roman" w:hAnsi="Times New Roman"/>
          <w:color w:val="auto"/>
          <w:sz w:val="24"/>
          <w:szCs w:val="24"/>
          <w:highlight w:val="none"/>
          <w:lang w:eastAsia="zh-CN"/>
        </w:rPr>
        <w:t>。</w:t>
      </w:r>
    </w:p>
    <w:p>
      <w:pPr>
        <w:spacing w:line="360" w:lineRule="auto"/>
        <w:ind w:firstLine="480" w:firstLineChars="200"/>
        <w:rPr>
          <w:rFonts w:hint="eastAsia" w:ascii="Times New Roman" w:hAnsi="Times New Roman" w:eastAsia="宋体"/>
          <w:color w:val="auto"/>
          <w:sz w:val="24"/>
          <w:szCs w:val="24"/>
          <w:highlight w:val="none"/>
          <w:lang w:eastAsia="zh-CN"/>
        </w:rPr>
      </w:pPr>
      <w:r>
        <w:rPr>
          <w:rFonts w:ascii="Times New Roman" w:hAnsi="Times New Roman"/>
          <w:color w:val="auto"/>
          <w:sz w:val="24"/>
          <w:szCs w:val="24"/>
          <w:highlight w:val="none"/>
        </w:rPr>
        <w:t>3</w:t>
      </w:r>
      <w:r>
        <w:rPr>
          <w:rFonts w:hint="eastAsia" w:ascii="Times New Roman" w:hAnsi="Times New Roman"/>
          <w:color w:val="auto"/>
          <w:sz w:val="24"/>
          <w:szCs w:val="24"/>
          <w:highlight w:val="none"/>
        </w:rPr>
        <w:t>有效期内内保温系统的型式检验报告</w:t>
      </w:r>
      <w:r>
        <w:rPr>
          <w:rFonts w:hint="eastAsia" w:ascii="Times New Roman" w:hAnsi="Times New Roman"/>
          <w:color w:val="auto"/>
          <w:sz w:val="24"/>
          <w:szCs w:val="24"/>
          <w:highlight w:val="none"/>
          <w:lang w:eastAsia="zh-CN"/>
        </w:rPr>
        <w:t>。</w:t>
      </w:r>
    </w:p>
    <w:p>
      <w:pPr>
        <w:spacing w:line="360" w:lineRule="auto"/>
        <w:ind w:firstLine="480" w:firstLineChars="200"/>
        <w:rPr>
          <w:rFonts w:hint="eastAsia" w:ascii="Times New Roman" w:hAnsi="Times New Roman" w:eastAsia="宋体"/>
          <w:color w:val="auto"/>
          <w:sz w:val="24"/>
          <w:szCs w:val="24"/>
          <w:highlight w:val="none"/>
          <w:lang w:eastAsia="zh-CN"/>
        </w:rPr>
      </w:pPr>
      <w:r>
        <w:rPr>
          <w:rFonts w:ascii="Times New Roman" w:hAnsi="Times New Roman"/>
          <w:color w:val="auto"/>
          <w:sz w:val="24"/>
          <w:szCs w:val="24"/>
          <w:highlight w:val="none"/>
        </w:rPr>
        <w:t>4</w:t>
      </w:r>
      <w:r>
        <w:rPr>
          <w:rFonts w:hint="eastAsia" w:ascii="Times New Roman" w:hAnsi="Times New Roman"/>
          <w:color w:val="auto"/>
          <w:sz w:val="24"/>
          <w:szCs w:val="24"/>
          <w:highlight w:val="none"/>
        </w:rPr>
        <w:t>基层验收资料及节能工程施工前处理情况记录</w:t>
      </w:r>
      <w:r>
        <w:rPr>
          <w:rFonts w:hint="eastAsia" w:ascii="Times New Roman" w:hAnsi="Times New Roman"/>
          <w:color w:val="auto"/>
          <w:sz w:val="24"/>
          <w:szCs w:val="24"/>
          <w:highlight w:val="none"/>
          <w:lang w:eastAsia="zh-CN"/>
        </w:rPr>
        <w:t>。</w:t>
      </w:r>
    </w:p>
    <w:p>
      <w:pPr>
        <w:spacing w:line="360" w:lineRule="auto"/>
        <w:ind w:firstLine="480" w:firstLineChars="200"/>
        <w:rPr>
          <w:rFonts w:hint="eastAsia" w:ascii="Times New Roman" w:hAnsi="Times New Roman" w:eastAsia="宋体"/>
          <w:color w:val="auto"/>
          <w:sz w:val="24"/>
          <w:szCs w:val="24"/>
          <w:highlight w:val="none"/>
          <w:lang w:eastAsia="zh-CN"/>
        </w:rPr>
      </w:pPr>
      <w:r>
        <w:rPr>
          <w:rFonts w:ascii="Times New Roman" w:hAnsi="Times New Roman"/>
          <w:color w:val="auto"/>
          <w:sz w:val="24"/>
          <w:szCs w:val="24"/>
          <w:highlight w:val="none"/>
        </w:rPr>
        <w:t>5</w:t>
      </w:r>
      <w:r>
        <w:rPr>
          <w:rFonts w:hint="eastAsia" w:ascii="Times New Roman" w:hAnsi="Times New Roman"/>
          <w:color w:val="auto"/>
          <w:sz w:val="24"/>
          <w:szCs w:val="24"/>
          <w:highlight w:val="none"/>
        </w:rPr>
        <w:t>施工方案及技术交底记录</w:t>
      </w:r>
      <w:r>
        <w:rPr>
          <w:rFonts w:hint="eastAsia" w:ascii="Times New Roman" w:hAnsi="Times New Roman"/>
          <w:color w:val="auto"/>
          <w:sz w:val="24"/>
          <w:szCs w:val="24"/>
          <w:highlight w:val="none"/>
          <w:lang w:eastAsia="zh-CN"/>
        </w:rPr>
        <w:t>。</w:t>
      </w:r>
    </w:p>
    <w:p>
      <w:pPr>
        <w:spacing w:line="360" w:lineRule="auto"/>
        <w:ind w:firstLine="480" w:firstLineChars="200"/>
        <w:rPr>
          <w:rFonts w:hint="eastAsia" w:ascii="Times New Roman" w:hAnsi="Times New Roman" w:eastAsia="宋体"/>
          <w:color w:val="auto"/>
          <w:sz w:val="24"/>
          <w:szCs w:val="24"/>
          <w:highlight w:val="none"/>
          <w:lang w:eastAsia="zh-CN"/>
        </w:rPr>
      </w:pPr>
      <w:r>
        <w:rPr>
          <w:rFonts w:ascii="Times New Roman" w:hAnsi="Times New Roman"/>
          <w:color w:val="auto"/>
          <w:sz w:val="24"/>
          <w:szCs w:val="24"/>
          <w:highlight w:val="none"/>
        </w:rPr>
        <w:t>6</w:t>
      </w:r>
      <w:r>
        <w:rPr>
          <w:rFonts w:hint="eastAsia" w:ascii="Times New Roman" w:hAnsi="Times New Roman"/>
          <w:color w:val="auto"/>
          <w:sz w:val="24"/>
          <w:szCs w:val="24"/>
          <w:highlight w:val="none"/>
        </w:rPr>
        <w:t>隐蔽工程验收记录和相关图像资料</w:t>
      </w:r>
      <w:r>
        <w:rPr>
          <w:rFonts w:hint="eastAsia" w:ascii="Times New Roman" w:hAnsi="Times New Roman"/>
          <w:color w:val="auto"/>
          <w:sz w:val="24"/>
          <w:szCs w:val="24"/>
          <w:highlight w:val="none"/>
          <w:lang w:eastAsia="zh-CN"/>
        </w:rPr>
        <w:t>。</w:t>
      </w:r>
    </w:p>
    <w:p>
      <w:pPr>
        <w:spacing w:line="360" w:lineRule="auto"/>
        <w:ind w:firstLine="480" w:firstLineChars="200"/>
        <w:rPr>
          <w:rFonts w:hint="eastAsia" w:ascii="Times New Roman" w:hAnsi="Times New Roman" w:eastAsia="宋体"/>
          <w:color w:val="auto"/>
          <w:sz w:val="24"/>
          <w:szCs w:val="24"/>
          <w:highlight w:val="none"/>
          <w:lang w:eastAsia="zh-CN"/>
        </w:rPr>
      </w:pPr>
      <w:r>
        <w:rPr>
          <w:rFonts w:ascii="Times New Roman" w:hAnsi="Times New Roman"/>
          <w:color w:val="auto"/>
          <w:sz w:val="24"/>
          <w:szCs w:val="24"/>
          <w:highlight w:val="none"/>
        </w:rPr>
        <w:t>7</w:t>
      </w:r>
      <w:r>
        <w:rPr>
          <w:rFonts w:hint="eastAsia" w:ascii="Times New Roman" w:hAnsi="Times New Roman"/>
          <w:color w:val="auto"/>
          <w:sz w:val="24"/>
          <w:szCs w:val="24"/>
          <w:highlight w:val="none"/>
        </w:rPr>
        <w:t>检验批质量验收记录</w:t>
      </w:r>
      <w:r>
        <w:rPr>
          <w:rFonts w:hint="eastAsia" w:ascii="Times New Roman" w:hAnsi="Times New Roman"/>
          <w:color w:val="auto"/>
          <w:sz w:val="24"/>
          <w:szCs w:val="24"/>
          <w:highlight w:val="none"/>
          <w:lang w:eastAsia="zh-CN"/>
        </w:rPr>
        <w:t>。</w:t>
      </w:r>
    </w:p>
    <w:p>
      <w:pPr>
        <w:spacing w:line="360" w:lineRule="auto"/>
        <w:ind w:firstLine="480" w:firstLineChars="200"/>
        <w:rPr>
          <w:rFonts w:hint="eastAsia" w:ascii="Times New Roman" w:hAnsi="Times New Roman" w:eastAsia="宋体"/>
          <w:color w:val="auto"/>
          <w:sz w:val="24"/>
          <w:szCs w:val="24"/>
          <w:highlight w:val="none"/>
          <w:lang w:eastAsia="zh-CN"/>
        </w:rPr>
      </w:pPr>
      <w:r>
        <w:rPr>
          <w:rFonts w:ascii="Times New Roman" w:hAnsi="Times New Roman"/>
          <w:color w:val="auto"/>
          <w:sz w:val="24"/>
          <w:szCs w:val="24"/>
          <w:highlight w:val="none"/>
        </w:rPr>
        <w:t>8</w:t>
      </w:r>
      <w:r>
        <w:rPr>
          <w:rFonts w:hint="eastAsia" w:ascii="Times New Roman" w:hAnsi="Times New Roman"/>
          <w:color w:val="auto"/>
          <w:sz w:val="24"/>
          <w:szCs w:val="24"/>
          <w:highlight w:val="none"/>
        </w:rPr>
        <w:t>其他必须检查项目的检查记录和相关文件</w:t>
      </w:r>
      <w:r>
        <w:rPr>
          <w:rFonts w:hint="eastAsia" w:ascii="Times New Roman" w:hAnsi="Times New Roman"/>
          <w:color w:val="auto"/>
          <w:sz w:val="24"/>
          <w:szCs w:val="24"/>
          <w:highlight w:val="none"/>
          <w:lang w:eastAsia="zh-CN"/>
        </w:rPr>
        <w:t>。</w:t>
      </w:r>
    </w:p>
    <w:p>
      <w:pPr>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9</w:t>
      </w:r>
      <w:r>
        <w:rPr>
          <w:rFonts w:hint="eastAsia" w:ascii="Times New Roman" w:hAnsi="Times New Roman"/>
          <w:color w:val="auto"/>
          <w:sz w:val="24"/>
          <w:szCs w:val="24"/>
          <w:highlight w:val="none"/>
        </w:rPr>
        <w:t>其他对工程质量有影响的重要技术资料。</w:t>
      </w:r>
    </w:p>
    <w:p>
      <w:pPr>
        <w:pageBreakBefore w:val="0"/>
        <w:wordWrap/>
        <w:topLinePunct w:val="0"/>
        <w:bidi w:val="0"/>
        <w:spacing w:after="0" w:line="360" w:lineRule="auto"/>
        <w:rPr>
          <w:rFonts w:ascii="华文楷体" w:hAnsi="华文楷体" w:eastAsia="华文楷体" w:cs="华文楷体"/>
          <w:color w:val="auto"/>
          <w:szCs w:val="24"/>
          <w:highlight w:val="none"/>
          <w:lang w:eastAsia="zh-CN"/>
        </w:rPr>
      </w:pPr>
    </w:p>
    <w:p>
      <w:pPr>
        <w:rPr>
          <w:rFonts w:hint="eastAsia"/>
          <w:color w:val="auto"/>
          <w:sz w:val="28"/>
          <w:szCs w:val="28"/>
          <w:highlight w:val="none"/>
        </w:rPr>
      </w:pPr>
      <w:bookmarkStart w:id="283" w:name="_Toc39938225"/>
      <w:bookmarkStart w:id="284" w:name="_Toc45883351"/>
      <w:bookmarkStart w:id="285" w:name="_Toc451281054"/>
      <w:bookmarkStart w:id="286" w:name="_Toc12864"/>
      <w:bookmarkStart w:id="287" w:name="_Toc45273947"/>
      <w:bookmarkStart w:id="288" w:name="_Toc21452674"/>
      <w:bookmarkStart w:id="289" w:name="_Toc45120213"/>
      <w:bookmarkStart w:id="290" w:name="_Toc40085842"/>
      <w:bookmarkStart w:id="291" w:name="_Toc27583"/>
      <w:bookmarkStart w:id="292" w:name="_Toc6305"/>
      <w:r>
        <w:rPr>
          <w:rFonts w:hint="eastAsia"/>
          <w:color w:val="auto"/>
          <w:sz w:val="28"/>
          <w:szCs w:val="28"/>
          <w:highlight w:val="none"/>
        </w:rPr>
        <w:br w:type="page"/>
      </w:r>
    </w:p>
    <w:p>
      <w:pPr>
        <w:pStyle w:val="4"/>
        <w:bidi w:val="0"/>
        <w:rPr>
          <w:rFonts w:hint="eastAsia"/>
          <w:color w:val="auto"/>
          <w:highlight w:val="none"/>
        </w:rPr>
      </w:pPr>
      <w:bookmarkStart w:id="293" w:name="_Toc30947"/>
      <w:r>
        <w:rPr>
          <w:rFonts w:hint="eastAsia"/>
          <w:color w:val="auto"/>
          <w:highlight w:val="none"/>
        </w:rPr>
        <w:t>本标准用词说明</w:t>
      </w:r>
      <w:bookmarkEnd w:id="283"/>
      <w:bookmarkEnd w:id="284"/>
      <w:bookmarkEnd w:id="285"/>
      <w:bookmarkEnd w:id="286"/>
      <w:bookmarkEnd w:id="287"/>
      <w:bookmarkEnd w:id="288"/>
      <w:bookmarkEnd w:id="289"/>
      <w:bookmarkEnd w:id="290"/>
      <w:bookmarkEnd w:id="291"/>
      <w:bookmarkEnd w:id="292"/>
      <w:bookmarkEnd w:id="293"/>
    </w:p>
    <w:p>
      <w:pPr>
        <w:spacing w:line="360" w:lineRule="auto"/>
        <w:jc w:val="left"/>
        <w:rPr>
          <w:rFonts w:hint="eastAsia" w:ascii="Times New Roman" w:hAnsi="Times New Roman"/>
          <w:color w:val="auto"/>
          <w:sz w:val="24"/>
          <w:szCs w:val="24"/>
          <w:highlight w:val="none"/>
          <w:lang w:eastAsia="zh-CN"/>
        </w:rPr>
      </w:pPr>
    </w:p>
    <w:p>
      <w:pPr>
        <w:spacing w:line="360" w:lineRule="auto"/>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1 为便于在执行本标准条文时区别对待，对要求严格程度不同的用词说明如下：</w:t>
      </w:r>
    </w:p>
    <w:p>
      <w:pPr>
        <w:spacing w:line="360" w:lineRule="auto"/>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1）表示很严格，非这样做的用词：</w:t>
      </w:r>
    </w:p>
    <w:p>
      <w:pPr>
        <w:spacing w:line="360" w:lineRule="auto"/>
        <w:ind w:firstLine="960" w:firstLineChars="4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正面词采用“必须”，反面词采用“严禁”；</w:t>
      </w:r>
    </w:p>
    <w:p>
      <w:pPr>
        <w:spacing w:line="360" w:lineRule="auto"/>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2）表示严格，在正常情况下均应这样做的用词：</w:t>
      </w:r>
    </w:p>
    <w:p>
      <w:pPr>
        <w:spacing w:line="360" w:lineRule="auto"/>
        <w:ind w:firstLine="960" w:firstLineChars="4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正面词采用“应”，反面词采用“不应”或“不得”；</w:t>
      </w:r>
    </w:p>
    <w:p>
      <w:pPr>
        <w:spacing w:line="360" w:lineRule="auto"/>
        <w:ind w:firstLine="480" w:firstLineChars="2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3）表示允许稍有选择，在条件许可时首先应这样做的用词：</w:t>
      </w:r>
    </w:p>
    <w:p>
      <w:pPr>
        <w:spacing w:line="360" w:lineRule="auto"/>
        <w:ind w:firstLine="960" w:firstLineChars="4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正面词采用“宜”，反面词采用“不宜”；</w:t>
      </w:r>
    </w:p>
    <w:p>
      <w:pPr>
        <w:spacing w:line="360" w:lineRule="auto"/>
        <w:ind w:firstLine="960" w:firstLineChars="40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表示有选择，在一定条件下可以这样做的用词采用“可”。</w:t>
      </w:r>
    </w:p>
    <w:p>
      <w:pPr>
        <w:spacing w:line="360" w:lineRule="auto"/>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2 条文中指明应按其他有关标准制定的写法为：“应符合……的规定”或“应按……执行”。</w:t>
      </w:r>
      <w:bookmarkStart w:id="306" w:name="_GoBack"/>
      <w:bookmarkEnd w:id="306"/>
    </w:p>
    <w:p>
      <w:pPr>
        <w:pageBreakBefore w:val="0"/>
        <w:wordWrap/>
        <w:topLinePunct w:val="0"/>
        <w:bidi w:val="0"/>
        <w:spacing w:after="0" w:line="360" w:lineRule="auto"/>
        <w:jc w:val="left"/>
        <w:rPr>
          <w:bCs/>
          <w:color w:val="auto"/>
          <w:szCs w:val="21"/>
          <w:highlight w:val="none"/>
          <w:lang w:eastAsia="zh-CN"/>
        </w:rPr>
      </w:pPr>
      <w:r>
        <w:rPr>
          <w:rFonts w:hint="eastAsia"/>
          <w:bCs/>
          <w:color w:val="auto"/>
          <w:szCs w:val="21"/>
          <w:highlight w:val="none"/>
          <w:lang w:eastAsia="zh-CN"/>
        </w:rPr>
        <w:br w:type="page"/>
      </w:r>
    </w:p>
    <w:p>
      <w:pPr>
        <w:pStyle w:val="4"/>
        <w:bidi w:val="0"/>
        <w:rPr>
          <w:rFonts w:hint="eastAsia"/>
          <w:color w:val="auto"/>
          <w:highlight w:val="none"/>
        </w:rPr>
      </w:pPr>
      <w:bookmarkStart w:id="294" w:name="_Toc5018"/>
      <w:bookmarkStart w:id="295" w:name="_Toc45117826"/>
      <w:bookmarkStart w:id="296" w:name="_Toc40085843"/>
      <w:bookmarkStart w:id="297" w:name="_Toc45273948"/>
      <w:bookmarkStart w:id="298" w:name="_Toc451281055"/>
      <w:bookmarkStart w:id="299" w:name="_Toc39938226"/>
      <w:bookmarkStart w:id="300" w:name="_Toc6295"/>
      <w:bookmarkStart w:id="301" w:name="_Toc45120214"/>
      <w:bookmarkStart w:id="302" w:name="_Toc7622"/>
      <w:bookmarkStart w:id="303" w:name="_Toc45883352"/>
      <w:bookmarkStart w:id="304" w:name="_Toc21452675"/>
      <w:bookmarkStart w:id="305" w:name="_Toc27343"/>
      <w:r>
        <w:rPr>
          <w:rFonts w:hint="eastAsia"/>
          <w:color w:val="auto"/>
          <w:highlight w:val="none"/>
        </w:rPr>
        <w:t>引用标准名录</w:t>
      </w:r>
      <w:bookmarkEnd w:id="294"/>
      <w:bookmarkEnd w:id="295"/>
      <w:bookmarkEnd w:id="296"/>
      <w:bookmarkEnd w:id="297"/>
      <w:bookmarkEnd w:id="298"/>
      <w:bookmarkEnd w:id="299"/>
      <w:bookmarkEnd w:id="300"/>
      <w:bookmarkEnd w:id="301"/>
      <w:bookmarkEnd w:id="302"/>
      <w:bookmarkEnd w:id="303"/>
      <w:bookmarkEnd w:id="304"/>
      <w:bookmarkEnd w:id="305"/>
    </w:p>
    <w:p>
      <w:pPr>
        <w:pageBreakBefore w:val="0"/>
        <w:tabs>
          <w:tab w:val="left" w:pos="0"/>
          <w:tab w:val="left" w:pos="540"/>
          <w:tab w:val="left" w:pos="9070"/>
        </w:tabs>
        <w:wordWrap/>
        <w:topLinePunct w:val="0"/>
        <w:bidi w:val="0"/>
        <w:spacing w:after="0" w:line="360" w:lineRule="auto"/>
        <w:rPr>
          <w:rFonts w:hint="eastAsia"/>
          <w:bCs/>
          <w:color w:val="auto"/>
          <w:szCs w:val="21"/>
          <w:highlight w:val="none"/>
          <w:lang w:eastAsia="zh-CN"/>
        </w:rPr>
      </w:pPr>
    </w:p>
    <w:p>
      <w:pPr>
        <w:keepNext w:val="0"/>
        <w:keepLines w:val="0"/>
        <w:pageBreakBefore w:val="0"/>
        <w:widowControl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《建筑防火通用规范》GB 55037</w:t>
      </w:r>
    </w:p>
    <w:p>
      <w:pPr>
        <w:keepNext w:val="0"/>
        <w:keepLines w:val="0"/>
        <w:pageBreakBefore w:val="0"/>
        <w:widowControl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建筑节能与可再生能源利用通用规范</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GB 55015</w:t>
      </w:r>
    </w:p>
    <w:p>
      <w:pPr>
        <w:keepNext w:val="0"/>
        <w:keepLines w:val="0"/>
        <w:pageBreakBefore w:val="0"/>
        <w:widowControl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《民用建筑工程室内环境污染控制规范》GB 50325</w:t>
      </w:r>
    </w:p>
    <w:p>
      <w:pPr>
        <w:keepNext w:val="0"/>
        <w:keepLines w:val="0"/>
        <w:pageBreakBefore w:val="0"/>
        <w:widowControl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《建筑设计防火规范》GB 50016</w:t>
      </w:r>
    </w:p>
    <w:p>
      <w:pPr>
        <w:keepNext w:val="0"/>
        <w:keepLines w:val="0"/>
        <w:pageBreakBefore w:val="0"/>
        <w:widowControl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《民用建筑热工设计规范》GB 50176</w:t>
      </w:r>
    </w:p>
    <w:p>
      <w:pPr>
        <w:keepNext w:val="0"/>
        <w:keepLines w:val="0"/>
        <w:pageBreakBefore w:val="0"/>
        <w:widowControl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《建筑材料放射性核素限量》GB 6566</w:t>
      </w:r>
    </w:p>
    <w:p>
      <w:pPr>
        <w:keepNext w:val="0"/>
        <w:keepLines w:val="0"/>
        <w:pageBreakBefore w:val="0"/>
        <w:widowControl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eastAsia="zh-CN"/>
        </w:rPr>
        <w:t>《建筑内部装修防火设计规范》GB 50222</w:t>
      </w:r>
    </w:p>
    <w:p>
      <w:pPr>
        <w:keepNext w:val="0"/>
        <w:keepLines w:val="0"/>
        <w:pageBreakBefore w:val="0"/>
        <w:widowControl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《建设工程施工现场消防安全技术规范》GB 50720</w:t>
      </w:r>
    </w:p>
    <w:p>
      <w:pPr>
        <w:keepNext w:val="0"/>
        <w:keepLines w:val="0"/>
        <w:pageBreakBefore w:val="0"/>
        <w:widowControl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《建筑装饰装修工程质量验收规范》GB 50210</w:t>
      </w:r>
    </w:p>
    <w:p>
      <w:pPr>
        <w:keepNext w:val="0"/>
        <w:keepLines w:val="0"/>
        <w:pageBreakBefore w:val="0"/>
        <w:widowControl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《建筑工程施工质量验收统一标准》GB 50300</w:t>
      </w:r>
    </w:p>
    <w:p>
      <w:pPr>
        <w:keepNext w:val="0"/>
        <w:keepLines w:val="0"/>
        <w:pageBreakBefore w:val="0"/>
        <w:widowControl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《建筑节能工程施工质量验收规范》GB 50411</w:t>
      </w:r>
    </w:p>
    <w:p>
      <w:pPr>
        <w:keepNext w:val="0"/>
        <w:keepLines w:val="0"/>
        <w:pageBreakBefore w:val="0"/>
        <w:widowControl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《外墙内保温复合板系统》GB/T 30593</w:t>
      </w:r>
    </w:p>
    <w:p>
      <w:pPr>
        <w:keepNext w:val="0"/>
        <w:keepLines w:val="0"/>
        <w:pageBreakBefore w:val="0"/>
        <w:widowControl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《纸面石膏板》GB/T 9775</w:t>
      </w:r>
    </w:p>
    <w:p>
      <w:pPr>
        <w:keepNext w:val="0"/>
        <w:keepLines w:val="0"/>
        <w:pageBreakBefore w:val="0"/>
        <w:widowControl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《建筑材料及其制品水蒸气透过性能试验方法》GB/T 17146</w:t>
      </w:r>
    </w:p>
    <w:p>
      <w:pPr>
        <w:keepNext w:val="0"/>
        <w:keepLines w:val="0"/>
        <w:pageBreakBefore w:val="0"/>
        <w:widowControl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《绝热用挤塑聚苯乙烯泡沫塑料（XPS）》GB/T</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lang w:eastAsia="zh-CN"/>
        </w:rPr>
        <w:t>10801.2</w:t>
      </w:r>
    </w:p>
    <w:p>
      <w:pPr>
        <w:keepNext w:val="0"/>
        <w:keepLines w:val="0"/>
        <w:pageBreakBefore w:val="0"/>
        <w:widowControl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《绝热用模塑聚苯乙烯泡沫塑料（EPS）》GB/T</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lang w:eastAsia="zh-CN"/>
        </w:rPr>
        <w:t>10801.1</w:t>
      </w:r>
    </w:p>
    <w:p>
      <w:pPr>
        <w:keepNext w:val="0"/>
        <w:keepLines w:val="0"/>
        <w:pageBreakBefore w:val="0"/>
        <w:widowControl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《陶瓷砖》GB/T 4100</w:t>
      </w:r>
    </w:p>
    <w:p>
      <w:pPr>
        <w:keepNext w:val="0"/>
        <w:keepLines w:val="0"/>
        <w:pageBreakBefore w:val="0"/>
        <w:widowControl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《住宅室内防水工程技术规范》JGJ 298</w:t>
      </w:r>
    </w:p>
    <w:p>
      <w:pPr>
        <w:keepNext w:val="0"/>
        <w:keepLines w:val="0"/>
        <w:pageBreakBefore w:val="0"/>
        <w:widowControl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《建筑室内用腻子》JG/T</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lang w:eastAsia="zh-CN"/>
        </w:rPr>
        <w:t>298</w:t>
      </w:r>
    </w:p>
    <w:p>
      <w:pPr>
        <w:keepNext w:val="0"/>
        <w:keepLines w:val="0"/>
        <w:pageBreakBefore w:val="0"/>
        <w:widowControl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《外墙内保温工程技术规程》JGJ/T 261</w:t>
      </w:r>
    </w:p>
    <w:p>
      <w:pPr>
        <w:keepNext w:val="0"/>
        <w:keepLines w:val="0"/>
        <w:pageBreakBefore w:val="0"/>
        <w:widowControl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《建筑用膨胀珍珠岩保温板》JC/T</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lang w:eastAsia="zh-CN"/>
        </w:rPr>
        <w:t>2298</w:t>
      </w:r>
    </w:p>
    <w:p>
      <w:pPr>
        <w:keepNext w:val="0"/>
        <w:keepLines w:val="0"/>
        <w:pageBreakBefore w:val="0"/>
        <w:widowControl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《热固复合聚苯乙烯泡沫保温板保温板》JG/T 536</w:t>
      </w:r>
    </w:p>
    <w:p>
      <w:pPr>
        <w:keepNext w:val="0"/>
        <w:keepLines w:val="0"/>
        <w:pageBreakBefore w:val="0"/>
        <w:widowControl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《纤维水泥平板第一部分：无石棉纤维水泥板》JC/T 412.1</w:t>
      </w:r>
    </w:p>
    <w:p>
      <w:pPr>
        <w:keepNext w:val="0"/>
        <w:keepLines w:val="0"/>
        <w:pageBreakBefore w:val="0"/>
        <w:widowControl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《抹灰砂浆技术规程》JGJ/T 220</w:t>
      </w:r>
    </w:p>
    <w:p>
      <w:pPr>
        <w:keepNext w:val="0"/>
        <w:keepLines w:val="0"/>
        <w:pageBreakBefore w:val="0"/>
        <w:widowControl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《公共建筑节能（绿色建筑）设计标准》DBJ</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lang w:eastAsia="zh-CN"/>
        </w:rPr>
        <w:t>50-052</w:t>
      </w:r>
    </w:p>
    <w:p>
      <w:pPr>
        <w:keepNext w:val="0"/>
        <w:keepLines w:val="0"/>
        <w:pageBreakBefore w:val="0"/>
        <w:widowControl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《居住建筑节能（绿色建筑）设计标准》DBJ</w:t>
      </w:r>
      <w:r>
        <w:rPr>
          <w:rFonts w:hint="eastAsia" w:asciiTheme="minorEastAsia" w:hAnsiTheme="minorEastAsia" w:eastAsiaTheme="minorEastAsia" w:cstheme="minorEastAsia"/>
          <w:color w:val="auto"/>
          <w:sz w:val="24"/>
          <w:szCs w:val="24"/>
          <w:highlight w:val="none"/>
          <w:lang w:val="en-US" w:eastAsia="zh-CN"/>
        </w:rPr>
        <w:t xml:space="preserve"> </w:t>
      </w:r>
      <w:r>
        <w:rPr>
          <w:rFonts w:hint="eastAsia" w:asciiTheme="minorEastAsia" w:hAnsiTheme="minorEastAsia" w:eastAsiaTheme="minorEastAsia" w:cstheme="minorEastAsia"/>
          <w:color w:val="auto"/>
          <w:sz w:val="24"/>
          <w:szCs w:val="24"/>
          <w:highlight w:val="none"/>
          <w:lang w:eastAsia="zh-CN"/>
        </w:rPr>
        <w:t>50-071</w:t>
      </w:r>
    </w:p>
    <w:p>
      <w:pPr>
        <w:keepNext w:val="0"/>
        <w:keepLines w:val="0"/>
        <w:pageBreakBefore w:val="0"/>
        <w:widowControl w:val="0"/>
        <w:shd w:val="clear"/>
        <w:kinsoku/>
        <w:wordWrap/>
        <w:overflowPunct/>
        <w:topLinePunct w:val="0"/>
        <w:autoSpaceDE/>
        <w:autoSpaceDN/>
        <w:bidi w:val="0"/>
        <w:adjustRightInd/>
        <w:snapToGrid/>
        <w:spacing w:line="50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eastAsia="zh-CN"/>
        </w:rPr>
        <w:t>《建筑节能(绿色建筑)工程施工质量验收规范》DBJ 50-255</w:t>
      </w:r>
    </w:p>
    <w:p>
      <w:pPr>
        <w:spacing w:line="360" w:lineRule="auto"/>
        <w:rPr>
          <w:rFonts w:asciiTheme="majorEastAsia" w:hAnsiTheme="majorEastAsia" w:eastAsiaTheme="majorEastAsia"/>
          <w:color w:val="auto"/>
          <w:sz w:val="24"/>
          <w:szCs w:val="24"/>
          <w:highlight w:val="none"/>
        </w:rPr>
      </w:pPr>
    </w:p>
    <w:sectPr>
      <w:footerReference r:id="rId12" w:type="default"/>
      <w:type w:val="continuous"/>
      <w:pgSz w:w="11906" w:h="16838"/>
      <w:pgMar w:top="1440" w:right="1440" w:bottom="1440" w:left="144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default"/>
    <w:sig w:usb0="E4002EFF" w:usb1="C000247B" w:usb2="00000009" w:usb3="00000000" w:csb0="200001FF" w:csb1="00000000"/>
  </w:font>
  <w:font w:name="方正小标宋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方正楷体_GBK">
    <w:panose1 w:val="03000509000000000000"/>
    <w:charset w:val="86"/>
    <w:family w:val="auto"/>
    <w:pitch w:val="default"/>
    <w:sig w:usb0="00000001" w:usb1="080E0000" w:usb2="00000000" w:usb3="00000000" w:csb0="00040000" w:csb1="00000000"/>
  </w:font>
  <w:font w:name="华文楷体">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jc w:val="center"/>
      <w:rPr>
        <w:rFonts w:ascii="Times New Roman" w:hAnsi="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jc w:val="center"/>
      <w:rPr>
        <w:rFonts w:ascii="Times New Roman" w:hAnsi="Times New Roma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jc w:val="center"/>
      <w:rPr>
        <w:rFonts w:ascii="Times New Roman" w:hAnsi="Times New Roma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jc w:val="center"/>
      <w:rPr>
        <w:rFonts w:ascii="Times New Roman" w:hAnsi="Times New Roma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jc w:val="center"/>
    </w:pPr>
  </w:p>
  <w:p>
    <w:pPr>
      <w:pStyle w:val="15"/>
      <w:ind w:firstLine="360"/>
      <w:jc w:val="center"/>
      <w:rPr>
        <w:rFonts w:ascii="Times New Roman" w:hAnsi="Times New Roman"/>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ind w:firstLine="360"/>
                            <w:jc w:val="center"/>
                          </w:pPr>
                          <w:r>
                            <w:fldChar w:fldCharType="begin"/>
                          </w:r>
                          <w:r>
                            <w:instrText xml:space="preserve">PAGE   \* MERGEFORMAT</w:instrText>
                          </w:r>
                          <w:r>
                            <w:fldChar w:fldCharType="separate"/>
                          </w:r>
                          <w:r>
                            <w:rPr>
                              <w:lang w:val="zh-CN"/>
                            </w:rPr>
                            <w:t>21</w:t>
                          </w:r>
                          <w:r>
                            <w:rPr>
                              <w:lang w:val="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5"/>
                      <w:ind w:firstLine="360"/>
                      <w:jc w:val="center"/>
                    </w:pPr>
                    <w:r>
                      <w:fldChar w:fldCharType="begin"/>
                    </w:r>
                    <w:r>
                      <w:instrText xml:space="preserve">PAGE   \* MERGEFORMAT</w:instrText>
                    </w:r>
                    <w:r>
                      <w:fldChar w:fldCharType="separate"/>
                    </w:r>
                    <w:r>
                      <w:rPr>
                        <w:lang w:val="zh-CN"/>
                      </w:rPr>
                      <w:t>21</w:t>
                    </w:r>
                    <w:r>
                      <w:rPr>
                        <w:lang w:val="zh-CN"/>
                      </w:rPr>
                      <w:fldChar w:fldCharType="end"/>
                    </w:r>
                  </w:p>
                </w:txbxContent>
              </v:textbox>
            </v:shape>
          </w:pict>
        </mc:Fallback>
      </mc:AlternateContent>
    </w:r>
  </w:p>
  <w:p>
    <w:pPr>
      <w:pStyle w:val="15"/>
      <w:ind w:firstLine="360"/>
      <w:jc w:val="center"/>
      <w:rPr>
        <w:rFonts w:ascii="Times New Roman" w:hAnsi="Times New Roman"/>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ind w:firstLine="360"/>
                            <w:jc w:val="center"/>
                          </w:pPr>
                          <w:r>
                            <w:fldChar w:fldCharType="begin"/>
                          </w:r>
                          <w:r>
                            <w:instrText xml:space="preserve">PAGE   \* MERGEFORMAT</w:instrText>
                          </w:r>
                          <w:r>
                            <w:fldChar w:fldCharType="separate"/>
                          </w:r>
                          <w:r>
                            <w:rPr>
                              <w:lang w:val="zh-CN"/>
                            </w:rPr>
                            <w:t>47</w:t>
                          </w:r>
                          <w:r>
                            <w:rPr>
                              <w:lang w:val="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5"/>
                      <w:ind w:firstLine="360"/>
                      <w:jc w:val="center"/>
                    </w:pPr>
                    <w:r>
                      <w:fldChar w:fldCharType="begin"/>
                    </w:r>
                    <w:r>
                      <w:instrText xml:space="preserve">PAGE   \* MERGEFORMAT</w:instrText>
                    </w:r>
                    <w:r>
                      <w:fldChar w:fldCharType="separate"/>
                    </w:r>
                    <w:r>
                      <w:rPr>
                        <w:lang w:val="zh-CN"/>
                      </w:rPr>
                      <w:t>47</w:t>
                    </w:r>
                    <w:r>
                      <w:rPr>
                        <w:lang w:val="zh-CN"/>
                      </w:rPr>
                      <w:fldChar w:fldCharType="end"/>
                    </w:r>
                  </w:p>
                </w:txbxContent>
              </v:textbox>
            </v:shape>
          </w:pict>
        </mc:Fallback>
      </mc:AlternateContent>
    </w:r>
  </w:p>
  <w:p>
    <w:pPr>
      <w:pStyle w:val="15"/>
      <w:ind w:firstLine="360"/>
      <w:jc w:val="center"/>
      <w:rPr>
        <w:rFonts w:ascii="Times New Roman" w:hAnsi="Times New Roma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CD8A59A"/>
    <w:multiLevelType w:val="singleLevel"/>
    <w:tmpl w:val="1CD8A59A"/>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7"/>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UzOTYzY2NlNjBlNjc0ZGEzNmE1ZGJhNmQ1NjI2MTkifQ=="/>
  </w:docVars>
  <w:rsids>
    <w:rsidRoot w:val="00172A27"/>
    <w:rsid w:val="000033BC"/>
    <w:rsid w:val="00005EB3"/>
    <w:rsid w:val="00006719"/>
    <w:rsid w:val="00007D8B"/>
    <w:rsid w:val="00012726"/>
    <w:rsid w:val="00020F91"/>
    <w:rsid w:val="00023A3C"/>
    <w:rsid w:val="000256F9"/>
    <w:rsid w:val="00025D4F"/>
    <w:rsid w:val="00030C0A"/>
    <w:rsid w:val="00033D8D"/>
    <w:rsid w:val="000355F7"/>
    <w:rsid w:val="000357A8"/>
    <w:rsid w:val="00041BD9"/>
    <w:rsid w:val="00042F33"/>
    <w:rsid w:val="000436DB"/>
    <w:rsid w:val="000460EB"/>
    <w:rsid w:val="00046356"/>
    <w:rsid w:val="00047A63"/>
    <w:rsid w:val="00047DBF"/>
    <w:rsid w:val="00050565"/>
    <w:rsid w:val="000514E1"/>
    <w:rsid w:val="00051CA5"/>
    <w:rsid w:val="00052557"/>
    <w:rsid w:val="00055234"/>
    <w:rsid w:val="00055DA3"/>
    <w:rsid w:val="00057189"/>
    <w:rsid w:val="00060396"/>
    <w:rsid w:val="00060B37"/>
    <w:rsid w:val="000616E9"/>
    <w:rsid w:val="00062133"/>
    <w:rsid w:val="00062A33"/>
    <w:rsid w:val="000643FA"/>
    <w:rsid w:val="000646DC"/>
    <w:rsid w:val="00064B3C"/>
    <w:rsid w:val="00071609"/>
    <w:rsid w:val="000735F5"/>
    <w:rsid w:val="00073B62"/>
    <w:rsid w:val="00073F37"/>
    <w:rsid w:val="00087DC8"/>
    <w:rsid w:val="00090160"/>
    <w:rsid w:val="0009167D"/>
    <w:rsid w:val="00091B83"/>
    <w:rsid w:val="00093131"/>
    <w:rsid w:val="00093CD9"/>
    <w:rsid w:val="000947A8"/>
    <w:rsid w:val="00094AC5"/>
    <w:rsid w:val="00094F78"/>
    <w:rsid w:val="000954EE"/>
    <w:rsid w:val="000967AB"/>
    <w:rsid w:val="00097531"/>
    <w:rsid w:val="000A4FC7"/>
    <w:rsid w:val="000A5B99"/>
    <w:rsid w:val="000A5FBD"/>
    <w:rsid w:val="000B0A04"/>
    <w:rsid w:val="000B0E22"/>
    <w:rsid w:val="000B2465"/>
    <w:rsid w:val="000B2ACA"/>
    <w:rsid w:val="000B5738"/>
    <w:rsid w:val="000B69AD"/>
    <w:rsid w:val="000B710D"/>
    <w:rsid w:val="000C5321"/>
    <w:rsid w:val="000C6ED6"/>
    <w:rsid w:val="000C7A2E"/>
    <w:rsid w:val="000D11C4"/>
    <w:rsid w:val="000D64FE"/>
    <w:rsid w:val="000D72B7"/>
    <w:rsid w:val="000D7BD1"/>
    <w:rsid w:val="000E0BF4"/>
    <w:rsid w:val="000E1474"/>
    <w:rsid w:val="000E1C47"/>
    <w:rsid w:val="000E1EF8"/>
    <w:rsid w:val="000E3447"/>
    <w:rsid w:val="000E3F49"/>
    <w:rsid w:val="000E50D5"/>
    <w:rsid w:val="000E7004"/>
    <w:rsid w:val="000F1DD1"/>
    <w:rsid w:val="000F1F82"/>
    <w:rsid w:val="000F2E1C"/>
    <w:rsid w:val="000F52CD"/>
    <w:rsid w:val="000F6A63"/>
    <w:rsid w:val="000F6BE3"/>
    <w:rsid w:val="001002A3"/>
    <w:rsid w:val="00100D13"/>
    <w:rsid w:val="00101347"/>
    <w:rsid w:val="001042AD"/>
    <w:rsid w:val="00106418"/>
    <w:rsid w:val="001119EB"/>
    <w:rsid w:val="00111D4B"/>
    <w:rsid w:val="0011363B"/>
    <w:rsid w:val="00114F52"/>
    <w:rsid w:val="00116C73"/>
    <w:rsid w:val="00117B57"/>
    <w:rsid w:val="00117E60"/>
    <w:rsid w:val="00120738"/>
    <w:rsid w:val="00124A43"/>
    <w:rsid w:val="00127953"/>
    <w:rsid w:val="00131545"/>
    <w:rsid w:val="00131D0F"/>
    <w:rsid w:val="00132A1B"/>
    <w:rsid w:val="00134296"/>
    <w:rsid w:val="00141187"/>
    <w:rsid w:val="0014272C"/>
    <w:rsid w:val="00143A25"/>
    <w:rsid w:val="00147051"/>
    <w:rsid w:val="00150A10"/>
    <w:rsid w:val="001518CA"/>
    <w:rsid w:val="00152D2D"/>
    <w:rsid w:val="00154D7F"/>
    <w:rsid w:val="0015690D"/>
    <w:rsid w:val="001569E6"/>
    <w:rsid w:val="00156ACA"/>
    <w:rsid w:val="00157E30"/>
    <w:rsid w:val="00161312"/>
    <w:rsid w:val="00161781"/>
    <w:rsid w:val="00162773"/>
    <w:rsid w:val="00163233"/>
    <w:rsid w:val="00163BB1"/>
    <w:rsid w:val="00164C61"/>
    <w:rsid w:val="00166C88"/>
    <w:rsid w:val="00172A27"/>
    <w:rsid w:val="00173082"/>
    <w:rsid w:val="00174CA6"/>
    <w:rsid w:val="001763E4"/>
    <w:rsid w:val="00177AED"/>
    <w:rsid w:val="00177BAF"/>
    <w:rsid w:val="00180BA9"/>
    <w:rsid w:val="00184455"/>
    <w:rsid w:val="00185382"/>
    <w:rsid w:val="00190377"/>
    <w:rsid w:val="00191F49"/>
    <w:rsid w:val="0019260A"/>
    <w:rsid w:val="001953D0"/>
    <w:rsid w:val="001955A0"/>
    <w:rsid w:val="0019692A"/>
    <w:rsid w:val="001A2D73"/>
    <w:rsid w:val="001A736D"/>
    <w:rsid w:val="001B3C12"/>
    <w:rsid w:val="001B6E5C"/>
    <w:rsid w:val="001C3710"/>
    <w:rsid w:val="001C567B"/>
    <w:rsid w:val="001C68FE"/>
    <w:rsid w:val="001C7440"/>
    <w:rsid w:val="001C7876"/>
    <w:rsid w:val="001D0065"/>
    <w:rsid w:val="001D0E36"/>
    <w:rsid w:val="001D19E8"/>
    <w:rsid w:val="001D2F03"/>
    <w:rsid w:val="001D3B0A"/>
    <w:rsid w:val="001D53D5"/>
    <w:rsid w:val="001D5D52"/>
    <w:rsid w:val="001D6565"/>
    <w:rsid w:val="001D6739"/>
    <w:rsid w:val="001D67FA"/>
    <w:rsid w:val="001E0964"/>
    <w:rsid w:val="001E4CB2"/>
    <w:rsid w:val="001E4F3F"/>
    <w:rsid w:val="001E5B62"/>
    <w:rsid w:val="001E5F04"/>
    <w:rsid w:val="001E6074"/>
    <w:rsid w:val="001E70FE"/>
    <w:rsid w:val="001F31BB"/>
    <w:rsid w:val="001F6B4A"/>
    <w:rsid w:val="001F7579"/>
    <w:rsid w:val="00201EED"/>
    <w:rsid w:val="002038C7"/>
    <w:rsid w:val="002039FD"/>
    <w:rsid w:val="00204654"/>
    <w:rsid w:val="002064BC"/>
    <w:rsid w:val="00206EF0"/>
    <w:rsid w:val="00211BA0"/>
    <w:rsid w:val="00211D65"/>
    <w:rsid w:val="00212D5A"/>
    <w:rsid w:val="00216119"/>
    <w:rsid w:val="00217B2C"/>
    <w:rsid w:val="0022435D"/>
    <w:rsid w:val="00224DFF"/>
    <w:rsid w:val="00225C63"/>
    <w:rsid w:val="00226D95"/>
    <w:rsid w:val="0022784C"/>
    <w:rsid w:val="002306C7"/>
    <w:rsid w:val="00231323"/>
    <w:rsid w:val="0023275A"/>
    <w:rsid w:val="00232DDC"/>
    <w:rsid w:val="0023549A"/>
    <w:rsid w:val="002354C9"/>
    <w:rsid w:val="00242321"/>
    <w:rsid w:val="0024439E"/>
    <w:rsid w:val="00244BB8"/>
    <w:rsid w:val="00250549"/>
    <w:rsid w:val="002507A1"/>
    <w:rsid w:val="0025245B"/>
    <w:rsid w:val="002525B5"/>
    <w:rsid w:val="00252BA9"/>
    <w:rsid w:val="002532AF"/>
    <w:rsid w:val="00255BB3"/>
    <w:rsid w:val="00260232"/>
    <w:rsid w:val="002625BF"/>
    <w:rsid w:val="002641B2"/>
    <w:rsid w:val="0026540F"/>
    <w:rsid w:val="002661E1"/>
    <w:rsid w:val="0027404A"/>
    <w:rsid w:val="0027489F"/>
    <w:rsid w:val="00275FE3"/>
    <w:rsid w:val="002800FA"/>
    <w:rsid w:val="00281F55"/>
    <w:rsid w:val="002820C6"/>
    <w:rsid w:val="0028367C"/>
    <w:rsid w:val="00285FC1"/>
    <w:rsid w:val="00285FEE"/>
    <w:rsid w:val="002869E6"/>
    <w:rsid w:val="00287A24"/>
    <w:rsid w:val="00291F1D"/>
    <w:rsid w:val="00292470"/>
    <w:rsid w:val="00294806"/>
    <w:rsid w:val="00295312"/>
    <w:rsid w:val="002A10AC"/>
    <w:rsid w:val="002A19DB"/>
    <w:rsid w:val="002A2474"/>
    <w:rsid w:val="002A318B"/>
    <w:rsid w:val="002A4512"/>
    <w:rsid w:val="002A4C08"/>
    <w:rsid w:val="002A663E"/>
    <w:rsid w:val="002A6809"/>
    <w:rsid w:val="002B1465"/>
    <w:rsid w:val="002B47C3"/>
    <w:rsid w:val="002B56F3"/>
    <w:rsid w:val="002B6496"/>
    <w:rsid w:val="002B69C7"/>
    <w:rsid w:val="002B7467"/>
    <w:rsid w:val="002B7DB8"/>
    <w:rsid w:val="002C26D0"/>
    <w:rsid w:val="002C2889"/>
    <w:rsid w:val="002C33F3"/>
    <w:rsid w:val="002C74DC"/>
    <w:rsid w:val="002D3E18"/>
    <w:rsid w:val="002E0454"/>
    <w:rsid w:val="002E0662"/>
    <w:rsid w:val="002E1906"/>
    <w:rsid w:val="002E364F"/>
    <w:rsid w:val="002E3FD5"/>
    <w:rsid w:val="002E4C3B"/>
    <w:rsid w:val="002E50F9"/>
    <w:rsid w:val="002E5DB2"/>
    <w:rsid w:val="002E6DB4"/>
    <w:rsid w:val="002F012A"/>
    <w:rsid w:val="002F156C"/>
    <w:rsid w:val="002F29DA"/>
    <w:rsid w:val="002F2BAD"/>
    <w:rsid w:val="002F5BD1"/>
    <w:rsid w:val="00304C7D"/>
    <w:rsid w:val="00306E5F"/>
    <w:rsid w:val="003079E6"/>
    <w:rsid w:val="003108A3"/>
    <w:rsid w:val="00313E05"/>
    <w:rsid w:val="00314645"/>
    <w:rsid w:val="0031469C"/>
    <w:rsid w:val="0031767A"/>
    <w:rsid w:val="0032182D"/>
    <w:rsid w:val="00323164"/>
    <w:rsid w:val="0032421C"/>
    <w:rsid w:val="00325369"/>
    <w:rsid w:val="00325B75"/>
    <w:rsid w:val="003304B5"/>
    <w:rsid w:val="00331D05"/>
    <w:rsid w:val="0033398F"/>
    <w:rsid w:val="00333E5B"/>
    <w:rsid w:val="00334EE5"/>
    <w:rsid w:val="0033580D"/>
    <w:rsid w:val="00337CE6"/>
    <w:rsid w:val="00341C4E"/>
    <w:rsid w:val="003440B0"/>
    <w:rsid w:val="00352609"/>
    <w:rsid w:val="003554F9"/>
    <w:rsid w:val="00355C08"/>
    <w:rsid w:val="00356FDA"/>
    <w:rsid w:val="0036030E"/>
    <w:rsid w:val="00363506"/>
    <w:rsid w:val="003637E4"/>
    <w:rsid w:val="003649D4"/>
    <w:rsid w:val="0036708E"/>
    <w:rsid w:val="0037135C"/>
    <w:rsid w:val="003729A3"/>
    <w:rsid w:val="003765FD"/>
    <w:rsid w:val="00376BD1"/>
    <w:rsid w:val="003771CE"/>
    <w:rsid w:val="00380261"/>
    <w:rsid w:val="003810A4"/>
    <w:rsid w:val="00381C87"/>
    <w:rsid w:val="00383BE2"/>
    <w:rsid w:val="00384C3F"/>
    <w:rsid w:val="00387635"/>
    <w:rsid w:val="003902D8"/>
    <w:rsid w:val="00390F41"/>
    <w:rsid w:val="00393472"/>
    <w:rsid w:val="00396427"/>
    <w:rsid w:val="003A3B71"/>
    <w:rsid w:val="003A5134"/>
    <w:rsid w:val="003B0921"/>
    <w:rsid w:val="003B4925"/>
    <w:rsid w:val="003C1B28"/>
    <w:rsid w:val="003C1F4E"/>
    <w:rsid w:val="003C22EC"/>
    <w:rsid w:val="003C28CE"/>
    <w:rsid w:val="003C4183"/>
    <w:rsid w:val="003D0AA5"/>
    <w:rsid w:val="003D0B08"/>
    <w:rsid w:val="003D1B95"/>
    <w:rsid w:val="003D4828"/>
    <w:rsid w:val="003D4B5D"/>
    <w:rsid w:val="003D6E6A"/>
    <w:rsid w:val="003E28A3"/>
    <w:rsid w:val="003E453C"/>
    <w:rsid w:val="003E7C7B"/>
    <w:rsid w:val="003F028B"/>
    <w:rsid w:val="003F066E"/>
    <w:rsid w:val="003F1023"/>
    <w:rsid w:val="003F4938"/>
    <w:rsid w:val="003F502C"/>
    <w:rsid w:val="003F5134"/>
    <w:rsid w:val="00401355"/>
    <w:rsid w:val="004032A3"/>
    <w:rsid w:val="00403EF3"/>
    <w:rsid w:val="0040552A"/>
    <w:rsid w:val="00405590"/>
    <w:rsid w:val="004061F3"/>
    <w:rsid w:val="004064F9"/>
    <w:rsid w:val="00406C8E"/>
    <w:rsid w:val="00406D62"/>
    <w:rsid w:val="004078FA"/>
    <w:rsid w:val="00410D94"/>
    <w:rsid w:val="00411603"/>
    <w:rsid w:val="00411783"/>
    <w:rsid w:val="00414197"/>
    <w:rsid w:val="00414406"/>
    <w:rsid w:val="004173CD"/>
    <w:rsid w:val="004178C8"/>
    <w:rsid w:val="00420974"/>
    <w:rsid w:val="00421161"/>
    <w:rsid w:val="00421221"/>
    <w:rsid w:val="004231B2"/>
    <w:rsid w:val="00423F9E"/>
    <w:rsid w:val="00424EF1"/>
    <w:rsid w:val="00427708"/>
    <w:rsid w:val="00430A9C"/>
    <w:rsid w:val="00431E81"/>
    <w:rsid w:val="004332E8"/>
    <w:rsid w:val="00434E3A"/>
    <w:rsid w:val="00437716"/>
    <w:rsid w:val="00437ACB"/>
    <w:rsid w:val="00437BCB"/>
    <w:rsid w:val="0044036C"/>
    <w:rsid w:val="00441D51"/>
    <w:rsid w:val="00441F34"/>
    <w:rsid w:val="0044299F"/>
    <w:rsid w:val="00444164"/>
    <w:rsid w:val="004450F1"/>
    <w:rsid w:val="004470DB"/>
    <w:rsid w:val="00447B4C"/>
    <w:rsid w:val="00447CDA"/>
    <w:rsid w:val="00450032"/>
    <w:rsid w:val="004513E4"/>
    <w:rsid w:val="00451582"/>
    <w:rsid w:val="00451D9C"/>
    <w:rsid w:val="00455785"/>
    <w:rsid w:val="00456192"/>
    <w:rsid w:val="00456420"/>
    <w:rsid w:val="00456CEB"/>
    <w:rsid w:val="00457231"/>
    <w:rsid w:val="00457A2B"/>
    <w:rsid w:val="00457E45"/>
    <w:rsid w:val="00457E96"/>
    <w:rsid w:val="00461DAF"/>
    <w:rsid w:val="0046288E"/>
    <w:rsid w:val="00462E37"/>
    <w:rsid w:val="00463140"/>
    <w:rsid w:val="00463FCA"/>
    <w:rsid w:val="0046501D"/>
    <w:rsid w:val="004655D3"/>
    <w:rsid w:val="00465B89"/>
    <w:rsid w:val="0046673F"/>
    <w:rsid w:val="004679A6"/>
    <w:rsid w:val="00467A66"/>
    <w:rsid w:val="00467B9F"/>
    <w:rsid w:val="00471F1A"/>
    <w:rsid w:val="004726F0"/>
    <w:rsid w:val="00472ECA"/>
    <w:rsid w:val="0047345E"/>
    <w:rsid w:val="00473FFA"/>
    <w:rsid w:val="00475039"/>
    <w:rsid w:val="00477A24"/>
    <w:rsid w:val="00481885"/>
    <w:rsid w:val="00481D51"/>
    <w:rsid w:val="00481D7F"/>
    <w:rsid w:val="00481DAF"/>
    <w:rsid w:val="004827EF"/>
    <w:rsid w:val="00483D19"/>
    <w:rsid w:val="00487458"/>
    <w:rsid w:val="00490C8C"/>
    <w:rsid w:val="004917AB"/>
    <w:rsid w:val="0049261E"/>
    <w:rsid w:val="00492635"/>
    <w:rsid w:val="00492D76"/>
    <w:rsid w:val="00493DB0"/>
    <w:rsid w:val="00495D0F"/>
    <w:rsid w:val="00496806"/>
    <w:rsid w:val="004A0D9A"/>
    <w:rsid w:val="004A366B"/>
    <w:rsid w:val="004A3BB8"/>
    <w:rsid w:val="004A4BD5"/>
    <w:rsid w:val="004A75BA"/>
    <w:rsid w:val="004B262A"/>
    <w:rsid w:val="004B28C9"/>
    <w:rsid w:val="004B31C8"/>
    <w:rsid w:val="004B4DA6"/>
    <w:rsid w:val="004B7C52"/>
    <w:rsid w:val="004C54D8"/>
    <w:rsid w:val="004C61DF"/>
    <w:rsid w:val="004C7403"/>
    <w:rsid w:val="004C77AC"/>
    <w:rsid w:val="004D1821"/>
    <w:rsid w:val="004D4B94"/>
    <w:rsid w:val="004D4CAF"/>
    <w:rsid w:val="004D4EA7"/>
    <w:rsid w:val="004D5A68"/>
    <w:rsid w:val="004D5C6C"/>
    <w:rsid w:val="004D6EA7"/>
    <w:rsid w:val="004E034E"/>
    <w:rsid w:val="004E0F48"/>
    <w:rsid w:val="004E3939"/>
    <w:rsid w:val="004E439F"/>
    <w:rsid w:val="004E70FB"/>
    <w:rsid w:val="004F3AAE"/>
    <w:rsid w:val="004F66FD"/>
    <w:rsid w:val="00503B0E"/>
    <w:rsid w:val="00505BE7"/>
    <w:rsid w:val="0050676C"/>
    <w:rsid w:val="00506AC3"/>
    <w:rsid w:val="00506BD6"/>
    <w:rsid w:val="00506D9C"/>
    <w:rsid w:val="00506F50"/>
    <w:rsid w:val="005074B4"/>
    <w:rsid w:val="005077DD"/>
    <w:rsid w:val="00510BF7"/>
    <w:rsid w:val="00513F27"/>
    <w:rsid w:val="005174A7"/>
    <w:rsid w:val="00517AA4"/>
    <w:rsid w:val="00517AFA"/>
    <w:rsid w:val="0052151A"/>
    <w:rsid w:val="00522264"/>
    <w:rsid w:val="00523A3B"/>
    <w:rsid w:val="00524A6D"/>
    <w:rsid w:val="005258DA"/>
    <w:rsid w:val="005272B7"/>
    <w:rsid w:val="005303E4"/>
    <w:rsid w:val="00532C0B"/>
    <w:rsid w:val="00532CD1"/>
    <w:rsid w:val="00540516"/>
    <w:rsid w:val="0054098B"/>
    <w:rsid w:val="0054207B"/>
    <w:rsid w:val="00542988"/>
    <w:rsid w:val="005437B5"/>
    <w:rsid w:val="005449AA"/>
    <w:rsid w:val="00545A5B"/>
    <w:rsid w:val="00545AD0"/>
    <w:rsid w:val="005467A2"/>
    <w:rsid w:val="00546D30"/>
    <w:rsid w:val="00550600"/>
    <w:rsid w:val="00551631"/>
    <w:rsid w:val="005527B4"/>
    <w:rsid w:val="005532DD"/>
    <w:rsid w:val="0055487D"/>
    <w:rsid w:val="00554CCE"/>
    <w:rsid w:val="00556751"/>
    <w:rsid w:val="00556AB3"/>
    <w:rsid w:val="00561D11"/>
    <w:rsid w:val="00562517"/>
    <w:rsid w:val="00563919"/>
    <w:rsid w:val="00564391"/>
    <w:rsid w:val="0056503A"/>
    <w:rsid w:val="00565090"/>
    <w:rsid w:val="00566DB6"/>
    <w:rsid w:val="00566DD8"/>
    <w:rsid w:val="00571009"/>
    <w:rsid w:val="00571E96"/>
    <w:rsid w:val="00573147"/>
    <w:rsid w:val="00575416"/>
    <w:rsid w:val="005757EC"/>
    <w:rsid w:val="0057720D"/>
    <w:rsid w:val="00577B74"/>
    <w:rsid w:val="00583222"/>
    <w:rsid w:val="00584040"/>
    <w:rsid w:val="00585C00"/>
    <w:rsid w:val="00587F86"/>
    <w:rsid w:val="005909AF"/>
    <w:rsid w:val="00592AFA"/>
    <w:rsid w:val="00594672"/>
    <w:rsid w:val="005A0FDC"/>
    <w:rsid w:val="005A209C"/>
    <w:rsid w:val="005A4ABB"/>
    <w:rsid w:val="005A5D0C"/>
    <w:rsid w:val="005A6B4E"/>
    <w:rsid w:val="005B3511"/>
    <w:rsid w:val="005B4A9F"/>
    <w:rsid w:val="005B4F2A"/>
    <w:rsid w:val="005B6F31"/>
    <w:rsid w:val="005C07FC"/>
    <w:rsid w:val="005C170D"/>
    <w:rsid w:val="005C3FF2"/>
    <w:rsid w:val="005C5347"/>
    <w:rsid w:val="005D02ED"/>
    <w:rsid w:val="005D1009"/>
    <w:rsid w:val="005D147C"/>
    <w:rsid w:val="005D7CE8"/>
    <w:rsid w:val="005E13B8"/>
    <w:rsid w:val="005E3FBA"/>
    <w:rsid w:val="005F0E33"/>
    <w:rsid w:val="005F20D8"/>
    <w:rsid w:val="005F24FC"/>
    <w:rsid w:val="005F2FBE"/>
    <w:rsid w:val="005F442E"/>
    <w:rsid w:val="005F6A97"/>
    <w:rsid w:val="005F7C50"/>
    <w:rsid w:val="0060297B"/>
    <w:rsid w:val="00602A56"/>
    <w:rsid w:val="00602D74"/>
    <w:rsid w:val="00603700"/>
    <w:rsid w:val="00603A59"/>
    <w:rsid w:val="0060479B"/>
    <w:rsid w:val="00605D6F"/>
    <w:rsid w:val="00605F2B"/>
    <w:rsid w:val="0060635A"/>
    <w:rsid w:val="00607E15"/>
    <w:rsid w:val="0061118F"/>
    <w:rsid w:val="00611195"/>
    <w:rsid w:val="006111D7"/>
    <w:rsid w:val="00611A0D"/>
    <w:rsid w:val="00613E32"/>
    <w:rsid w:val="00615D75"/>
    <w:rsid w:val="006162C5"/>
    <w:rsid w:val="006172B3"/>
    <w:rsid w:val="00617AB1"/>
    <w:rsid w:val="00620FC4"/>
    <w:rsid w:val="00623267"/>
    <w:rsid w:val="00623C5E"/>
    <w:rsid w:val="0062419F"/>
    <w:rsid w:val="006242DF"/>
    <w:rsid w:val="00625209"/>
    <w:rsid w:val="00632567"/>
    <w:rsid w:val="00636415"/>
    <w:rsid w:val="006366A5"/>
    <w:rsid w:val="00637BC1"/>
    <w:rsid w:val="00640564"/>
    <w:rsid w:val="006408EF"/>
    <w:rsid w:val="00644A52"/>
    <w:rsid w:val="00647314"/>
    <w:rsid w:val="00650650"/>
    <w:rsid w:val="0065283F"/>
    <w:rsid w:val="00652F58"/>
    <w:rsid w:val="0065568A"/>
    <w:rsid w:val="0065573F"/>
    <w:rsid w:val="00655D8D"/>
    <w:rsid w:val="00656259"/>
    <w:rsid w:val="0065655A"/>
    <w:rsid w:val="0066131D"/>
    <w:rsid w:val="0066132A"/>
    <w:rsid w:val="00661B92"/>
    <w:rsid w:val="0066228D"/>
    <w:rsid w:val="00666080"/>
    <w:rsid w:val="00670051"/>
    <w:rsid w:val="00674258"/>
    <w:rsid w:val="00675A1F"/>
    <w:rsid w:val="00676195"/>
    <w:rsid w:val="00677C70"/>
    <w:rsid w:val="00677C90"/>
    <w:rsid w:val="00681B63"/>
    <w:rsid w:val="00682D12"/>
    <w:rsid w:val="00685CB7"/>
    <w:rsid w:val="00686A31"/>
    <w:rsid w:val="00686E0E"/>
    <w:rsid w:val="0068747F"/>
    <w:rsid w:val="00687C39"/>
    <w:rsid w:val="00690394"/>
    <w:rsid w:val="00691555"/>
    <w:rsid w:val="00691B89"/>
    <w:rsid w:val="00691C54"/>
    <w:rsid w:val="00691F5F"/>
    <w:rsid w:val="00692F9E"/>
    <w:rsid w:val="00696F71"/>
    <w:rsid w:val="006A1659"/>
    <w:rsid w:val="006A241F"/>
    <w:rsid w:val="006A3435"/>
    <w:rsid w:val="006A6265"/>
    <w:rsid w:val="006B4250"/>
    <w:rsid w:val="006B4E31"/>
    <w:rsid w:val="006B677D"/>
    <w:rsid w:val="006B6EA2"/>
    <w:rsid w:val="006B7326"/>
    <w:rsid w:val="006B788D"/>
    <w:rsid w:val="006C1ABE"/>
    <w:rsid w:val="006C5A9E"/>
    <w:rsid w:val="006C5DAE"/>
    <w:rsid w:val="006D4D92"/>
    <w:rsid w:val="006D6594"/>
    <w:rsid w:val="006E072C"/>
    <w:rsid w:val="006E08F6"/>
    <w:rsid w:val="006E1644"/>
    <w:rsid w:val="006E25E4"/>
    <w:rsid w:val="006E68D0"/>
    <w:rsid w:val="006F0883"/>
    <w:rsid w:val="006F20FE"/>
    <w:rsid w:val="006F59FC"/>
    <w:rsid w:val="006F7EB8"/>
    <w:rsid w:val="007002BF"/>
    <w:rsid w:val="00700C6E"/>
    <w:rsid w:val="007015C7"/>
    <w:rsid w:val="00701D0D"/>
    <w:rsid w:val="0070302C"/>
    <w:rsid w:val="00710D85"/>
    <w:rsid w:val="00711659"/>
    <w:rsid w:val="00711835"/>
    <w:rsid w:val="0071283F"/>
    <w:rsid w:val="00714213"/>
    <w:rsid w:val="00715164"/>
    <w:rsid w:val="007162D7"/>
    <w:rsid w:val="007173C5"/>
    <w:rsid w:val="00720174"/>
    <w:rsid w:val="0072319E"/>
    <w:rsid w:val="00723C9F"/>
    <w:rsid w:val="0073139A"/>
    <w:rsid w:val="0073154A"/>
    <w:rsid w:val="00732725"/>
    <w:rsid w:val="00732DBB"/>
    <w:rsid w:val="00737404"/>
    <w:rsid w:val="00737EDA"/>
    <w:rsid w:val="00742167"/>
    <w:rsid w:val="00742E84"/>
    <w:rsid w:val="00743DCC"/>
    <w:rsid w:val="00743F7E"/>
    <w:rsid w:val="00744D3E"/>
    <w:rsid w:val="00745B0B"/>
    <w:rsid w:val="007507C4"/>
    <w:rsid w:val="0075086B"/>
    <w:rsid w:val="00750EF0"/>
    <w:rsid w:val="007512AC"/>
    <w:rsid w:val="00751FDA"/>
    <w:rsid w:val="007527DF"/>
    <w:rsid w:val="007533C6"/>
    <w:rsid w:val="007537F2"/>
    <w:rsid w:val="0075383D"/>
    <w:rsid w:val="00753B06"/>
    <w:rsid w:val="00754D13"/>
    <w:rsid w:val="007555A8"/>
    <w:rsid w:val="00756D68"/>
    <w:rsid w:val="007606A9"/>
    <w:rsid w:val="007629A9"/>
    <w:rsid w:val="00764A3C"/>
    <w:rsid w:val="00764E32"/>
    <w:rsid w:val="00765C79"/>
    <w:rsid w:val="007665C5"/>
    <w:rsid w:val="00767ACC"/>
    <w:rsid w:val="00771F30"/>
    <w:rsid w:val="007736F4"/>
    <w:rsid w:val="00773E0E"/>
    <w:rsid w:val="00774827"/>
    <w:rsid w:val="0077633D"/>
    <w:rsid w:val="00784258"/>
    <w:rsid w:val="00784AE7"/>
    <w:rsid w:val="00785CE9"/>
    <w:rsid w:val="00790505"/>
    <w:rsid w:val="007911BF"/>
    <w:rsid w:val="007920EF"/>
    <w:rsid w:val="0079310C"/>
    <w:rsid w:val="00793F96"/>
    <w:rsid w:val="00794933"/>
    <w:rsid w:val="00795878"/>
    <w:rsid w:val="007A0E66"/>
    <w:rsid w:val="007A3F4E"/>
    <w:rsid w:val="007A6AA6"/>
    <w:rsid w:val="007A7BAD"/>
    <w:rsid w:val="007B1C12"/>
    <w:rsid w:val="007B3079"/>
    <w:rsid w:val="007B382F"/>
    <w:rsid w:val="007B5669"/>
    <w:rsid w:val="007C1D97"/>
    <w:rsid w:val="007C2561"/>
    <w:rsid w:val="007C2A1B"/>
    <w:rsid w:val="007D277C"/>
    <w:rsid w:val="007D3A45"/>
    <w:rsid w:val="007D45DD"/>
    <w:rsid w:val="007D5AB8"/>
    <w:rsid w:val="007D5D88"/>
    <w:rsid w:val="007E1464"/>
    <w:rsid w:val="007E1D06"/>
    <w:rsid w:val="007E3561"/>
    <w:rsid w:val="007E4E57"/>
    <w:rsid w:val="007E6360"/>
    <w:rsid w:val="007E7DD8"/>
    <w:rsid w:val="007F1B97"/>
    <w:rsid w:val="007F57F3"/>
    <w:rsid w:val="0080162E"/>
    <w:rsid w:val="00802319"/>
    <w:rsid w:val="008048D5"/>
    <w:rsid w:val="00806EEA"/>
    <w:rsid w:val="00815964"/>
    <w:rsid w:val="00816441"/>
    <w:rsid w:val="008176DF"/>
    <w:rsid w:val="008210E5"/>
    <w:rsid w:val="00823316"/>
    <w:rsid w:val="008265B4"/>
    <w:rsid w:val="00827711"/>
    <w:rsid w:val="00827B14"/>
    <w:rsid w:val="008304B3"/>
    <w:rsid w:val="008311A9"/>
    <w:rsid w:val="00831EA1"/>
    <w:rsid w:val="0083768E"/>
    <w:rsid w:val="00837EA2"/>
    <w:rsid w:val="00840BEE"/>
    <w:rsid w:val="00842AF2"/>
    <w:rsid w:val="00842D9E"/>
    <w:rsid w:val="0084342B"/>
    <w:rsid w:val="008452A3"/>
    <w:rsid w:val="00846BED"/>
    <w:rsid w:val="008501DA"/>
    <w:rsid w:val="00852B4A"/>
    <w:rsid w:val="00853A90"/>
    <w:rsid w:val="00853B76"/>
    <w:rsid w:val="00854485"/>
    <w:rsid w:val="00855CED"/>
    <w:rsid w:val="008578BF"/>
    <w:rsid w:val="0086173D"/>
    <w:rsid w:val="00863614"/>
    <w:rsid w:val="00863C8A"/>
    <w:rsid w:val="008673FE"/>
    <w:rsid w:val="0087132A"/>
    <w:rsid w:val="00871F61"/>
    <w:rsid w:val="00872E93"/>
    <w:rsid w:val="00873A79"/>
    <w:rsid w:val="008749EA"/>
    <w:rsid w:val="0087597F"/>
    <w:rsid w:val="00875A5A"/>
    <w:rsid w:val="00875E54"/>
    <w:rsid w:val="00880D34"/>
    <w:rsid w:val="00883558"/>
    <w:rsid w:val="00884CE0"/>
    <w:rsid w:val="00886E8A"/>
    <w:rsid w:val="00890796"/>
    <w:rsid w:val="00893BB0"/>
    <w:rsid w:val="00893BC8"/>
    <w:rsid w:val="008941E6"/>
    <w:rsid w:val="00894631"/>
    <w:rsid w:val="008A0198"/>
    <w:rsid w:val="008A063A"/>
    <w:rsid w:val="008A0DA3"/>
    <w:rsid w:val="008B0C90"/>
    <w:rsid w:val="008B1949"/>
    <w:rsid w:val="008B2588"/>
    <w:rsid w:val="008B4169"/>
    <w:rsid w:val="008C0571"/>
    <w:rsid w:val="008C21D9"/>
    <w:rsid w:val="008C4BB7"/>
    <w:rsid w:val="008C7C21"/>
    <w:rsid w:val="008D0370"/>
    <w:rsid w:val="008D2DA3"/>
    <w:rsid w:val="008D413C"/>
    <w:rsid w:val="008D4AEC"/>
    <w:rsid w:val="008D54A8"/>
    <w:rsid w:val="008D6D75"/>
    <w:rsid w:val="008E0369"/>
    <w:rsid w:val="008E09B4"/>
    <w:rsid w:val="008E0ADC"/>
    <w:rsid w:val="008E0FF0"/>
    <w:rsid w:val="008E10AD"/>
    <w:rsid w:val="008E28D2"/>
    <w:rsid w:val="008E3947"/>
    <w:rsid w:val="008E5F35"/>
    <w:rsid w:val="008E618D"/>
    <w:rsid w:val="008E70F7"/>
    <w:rsid w:val="008F2A50"/>
    <w:rsid w:val="008F56E4"/>
    <w:rsid w:val="008F5B80"/>
    <w:rsid w:val="008F7028"/>
    <w:rsid w:val="00900688"/>
    <w:rsid w:val="00901ED1"/>
    <w:rsid w:val="00902FFC"/>
    <w:rsid w:val="00903D5C"/>
    <w:rsid w:val="00904F6A"/>
    <w:rsid w:val="00906FE7"/>
    <w:rsid w:val="00907C0F"/>
    <w:rsid w:val="00913866"/>
    <w:rsid w:val="00914C11"/>
    <w:rsid w:val="00915A53"/>
    <w:rsid w:val="009170EF"/>
    <w:rsid w:val="00921669"/>
    <w:rsid w:val="009219B5"/>
    <w:rsid w:val="00922EDE"/>
    <w:rsid w:val="009238A4"/>
    <w:rsid w:val="009275EA"/>
    <w:rsid w:val="009317AC"/>
    <w:rsid w:val="00931C99"/>
    <w:rsid w:val="00934809"/>
    <w:rsid w:val="00935E8D"/>
    <w:rsid w:val="00936BC3"/>
    <w:rsid w:val="00936E3D"/>
    <w:rsid w:val="00940E0D"/>
    <w:rsid w:val="0094314D"/>
    <w:rsid w:val="00950974"/>
    <w:rsid w:val="00952232"/>
    <w:rsid w:val="00952568"/>
    <w:rsid w:val="00953C15"/>
    <w:rsid w:val="00954EDB"/>
    <w:rsid w:val="0096094C"/>
    <w:rsid w:val="00961181"/>
    <w:rsid w:val="00961B9E"/>
    <w:rsid w:val="009628B2"/>
    <w:rsid w:val="009638CF"/>
    <w:rsid w:val="0096689A"/>
    <w:rsid w:val="009676E7"/>
    <w:rsid w:val="00970A18"/>
    <w:rsid w:val="00972E59"/>
    <w:rsid w:val="00973C5D"/>
    <w:rsid w:val="00974127"/>
    <w:rsid w:val="0097453F"/>
    <w:rsid w:val="00977A96"/>
    <w:rsid w:val="00981136"/>
    <w:rsid w:val="00981ED2"/>
    <w:rsid w:val="00983269"/>
    <w:rsid w:val="0098487D"/>
    <w:rsid w:val="00985AA3"/>
    <w:rsid w:val="00986C8E"/>
    <w:rsid w:val="00987BA7"/>
    <w:rsid w:val="0099059B"/>
    <w:rsid w:val="00990FD3"/>
    <w:rsid w:val="00991ADB"/>
    <w:rsid w:val="009928A1"/>
    <w:rsid w:val="00993316"/>
    <w:rsid w:val="009941B9"/>
    <w:rsid w:val="009954C4"/>
    <w:rsid w:val="009A2567"/>
    <w:rsid w:val="009A37D3"/>
    <w:rsid w:val="009A4BFA"/>
    <w:rsid w:val="009A4EC2"/>
    <w:rsid w:val="009B3AB5"/>
    <w:rsid w:val="009B3F44"/>
    <w:rsid w:val="009B62C1"/>
    <w:rsid w:val="009B783E"/>
    <w:rsid w:val="009B7B42"/>
    <w:rsid w:val="009C0819"/>
    <w:rsid w:val="009C0D49"/>
    <w:rsid w:val="009C2534"/>
    <w:rsid w:val="009C4758"/>
    <w:rsid w:val="009D3612"/>
    <w:rsid w:val="009D3A2D"/>
    <w:rsid w:val="009D49D1"/>
    <w:rsid w:val="009D4C2F"/>
    <w:rsid w:val="009D5C84"/>
    <w:rsid w:val="009D5D9A"/>
    <w:rsid w:val="009D6109"/>
    <w:rsid w:val="009D63BA"/>
    <w:rsid w:val="009D7B16"/>
    <w:rsid w:val="009D7EEB"/>
    <w:rsid w:val="009E30D1"/>
    <w:rsid w:val="009E38AF"/>
    <w:rsid w:val="009E5B3F"/>
    <w:rsid w:val="009E7BB8"/>
    <w:rsid w:val="009F22E5"/>
    <w:rsid w:val="00A04879"/>
    <w:rsid w:val="00A05C35"/>
    <w:rsid w:val="00A05EE6"/>
    <w:rsid w:val="00A1588D"/>
    <w:rsid w:val="00A16754"/>
    <w:rsid w:val="00A23A5F"/>
    <w:rsid w:val="00A23C1F"/>
    <w:rsid w:val="00A24B95"/>
    <w:rsid w:val="00A26867"/>
    <w:rsid w:val="00A3165A"/>
    <w:rsid w:val="00A31E6E"/>
    <w:rsid w:val="00A32002"/>
    <w:rsid w:val="00A32102"/>
    <w:rsid w:val="00A33D71"/>
    <w:rsid w:val="00A34092"/>
    <w:rsid w:val="00A36F11"/>
    <w:rsid w:val="00A37875"/>
    <w:rsid w:val="00A42BFB"/>
    <w:rsid w:val="00A439B5"/>
    <w:rsid w:val="00A45DE9"/>
    <w:rsid w:val="00A4609F"/>
    <w:rsid w:val="00A460A6"/>
    <w:rsid w:val="00A51278"/>
    <w:rsid w:val="00A52C11"/>
    <w:rsid w:val="00A532A2"/>
    <w:rsid w:val="00A534E0"/>
    <w:rsid w:val="00A54AA6"/>
    <w:rsid w:val="00A54BCD"/>
    <w:rsid w:val="00A648A4"/>
    <w:rsid w:val="00A65372"/>
    <w:rsid w:val="00A6610B"/>
    <w:rsid w:val="00A66F20"/>
    <w:rsid w:val="00A6712D"/>
    <w:rsid w:val="00A70FDF"/>
    <w:rsid w:val="00A72AA9"/>
    <w:rsid w:val="00A72D25"/>
    <w:rsid w:val="00A74672"/>
    <w:rsid w:val="00A763AF"/>
    <w:rsid w:val="00A81855"/>
    <w:rsid w:val="00A82E6E"/>
    <w:rsid w:val="00A83287"/>
    <w:rsid w:val="00A853F0"/>
    <w:rsid w:val="00A86F06"/>
    <w:rsid w:val="00A878CF"/>
    <w:rsid w:val="00A90459"/>
    <w:rsid w:val="00A91923"/>
    <w:rsid w:val="00A921B7"/>
    <w:rsid w:val="00A93392"/>
    <w:rsid w:val="00A965C2"/>
    <w:rsid w:val="00A96990"/>
    <w:rsid w:val="00AA0019"/>
    <w:rsid w:val="00AA0A87"/>
    <w:rsid w:val="00AA1F01"/>
    <w:rsid w:val="00AA28E2"/>
    <w:rsid w:val="00AA2A99"/>
    <w:rsid w:val="00AA3CB8"/>
    <w:rsid w:val="00AA417A"/>
    <w:rsid w:val="00AA5F1E"/>
    <w:rsid w:val="00AB021E"/>
    <w:rsid w:val="00AB2B64"/>
    <w:rsid w:val="00AB4EB8"/>
    <w:rsid w:val="00AB51CE"/>
    <w:rsid w:val="00AB6CA1"/>
    <w:rsid w:val="00AC3D10"/>
    <w:rsid w:val="00AC5762"/>
    <w:rsid w:val="00AC5F25"/>
    <w:rsid w:val="00AC5FAC"/>
    <w:rsid w:val="00AD347F"/>
    <w:rsid w:val="00AD50EB"/>
    <w:rsid w:val="00AD67F1"/>
    <w:rsid w:val="00AD6AC3"/>
    <w:rsid w:val="00AD75C4"/>
    <w:rsid w:val="00AD789E"/>
    <w:rsid w:val="00AD7E11"/>
    <w:rsid w:val="00AE07C2"/>
    <w:rsid w:val="00AE0D21"/>
    <w:rsid w:val="00AE1EB3"/>
    <w:rsid w:val="00AE47E6"/>
    <w:rsid w:val="00AE51E6"/>
    <w:rsid w:val="00AE54FE"/>
    <w:rsid w:val="00AE64FD"/>
    <w:rsid w:val="00AF4032"/>
    <w:rsid w:val="00AF4CEB"/>
    <w:rsid w:val="00AF5072"/>
    <w:rsid w:val="00B01A53"/>
    <w:rsid w:val="00B03AC5"/>
    <w:rsid w:val="00B03DE2"/>
    <w:rsid w:val="00B10E72"/>
    <w:rsid w:val="00B12BBF"/>
    <w:rsid w:val="00B12D95"/>
    <w:rsid w:val="00B139CD"/>
    <w:rsid w:val="00B14167"/>
    <w:rsid w:val="00B159E1"/>
    <w:rsid w:val="00B17CA1"/>
    <w:rsid w:val="00B17E7F"/>
    <w:rsid w:val="00B20463"/>
    <w:rsid w:val="00B24187"/>
    <w:rsid w:val="00B30D09"/>
    <w:rsid w:val="00B323AA"/>
    <w:rsid w:val="00B34505"/>
    <w:rsid w:val="00B3562D"/>
    <w:rsid w:val="00B35806"/>
    <w:rsid w:val="00B41BCB"/>
    <w:rsid w:val="00B42B5E"/>
    <w:rsid w:val="00B45483"/>
    <w:rsid w:val="00B456D9"/>
    <w:rsid w:val="00B477D1"/>
    <w:rsid w:val="00B47B03"/>
    <w:rsid w:val="00B47ED4"/>
    <w:rsid w:val="00B53468"/>
    <w:rsid w:val="00B557E8"/>
    <w:rsid w:val="00B579B1"/>
    <w:rsid w:val="00B61D58"/>
    <w:rsid w:val="00B61F25"/>
    <w:rsid w:val="00B6541E"/>
    <w:rsid w:val="00B664CA"/>
    <w:rsid w:val="00B7055C"/>
    <w:rsid w:val="00B711F7"/>
    <w:rsid w:val="00B74BDC"/>
    <w:rsid w:val="00B753EE"/>
    <w:rsid w:val="00B839A1"/>
    <w:rsid w:val="00B84711"/>
    <w:rsid w:val="00B87C47"/>
    <w:rsid w:val="00B90C91"/>
    <w:rsid w:val="00B93039"/>
    <w:rsid w:val="00B955B9"/>
    <w:rsid w:val="00B95A4D"/>
    <w:rsid w:val="00B95AC2"/>
    <w:rsid w:val="00B95BC2"/>
    <w:rsid w:val="00B96854"/>
    <w:rsid w:val="00B96DD7"/>
    <w:rsid w:val="00BA0C46"/>
    <w:rsid w:val="00BA0F5F"/>
    <w:rsid w:val="00BA0F7B"/>
    <w:rsid w:val="00BA2699"/>
    <w:rsid w:val="00BA299E"/>
    <w:rsid w:val="00BA395A"/>
    <w:rsid w:val="00BA5094"/>
    <w:rsid w:val="00BA5173"/>
    <w:rsid w:val="00BA5E93"/>
    <w:rsid w:val="00BB0246"/>
    <w:rsid w:val="00BB12E1"/>
    <w:rsid w:val="00BB323B"/>
    <w:rsid w:val="00BC518B"/>
    <w:rsid w:val="00BC5A64"/>
    <w:rsid w:val="00BC79CA"/>
    <w:rsid w:val="00BD257D"/>
    <w:rsid w:val="00BD3ED5"/>
    <w:rsid w:val="00BD4176"/>
    <w:rsid w:val="00BD41D9"/>
    <w:rsid w:val="00BD5798"/>
    <w:rsid w:val="00BE322E"/>
    <w:rsid w:val="00BE3FE4"/>
    <w:rsid w:val="00BE454D"/>
    <w:rsid w:val="00BE660C"/>
    <w:rsid w:val="00BE697F"/>
    <w:rsid w:val="00BF0D1A"/>
    <w:rsid w:val="00BF0E64"/>
    <w:rsid w:val="00BF2910"/>
    <w:rsid w:val="00BF39D3"/>
    <w:rsid w:val="00BF53FE"/>
    <w:rsid w:val="00BF780C"/>
    <w:rsid w:val="00C04D9E"/>
    <w:rsid w:val="00C057B6"/>
    <w:rsid w:val="00C066D8"/>
    <w:rsid w:val="00C105EF"/>
    <w:rsid w:val="00C1103C"/>
    <w:rsid w:val="00C13266"/>
    <w:rsid w:val="00C13690"/>
    <w:rsid w:val="00C2008D"/>
    <w:rsid w:val="00C20550"/>
    <w:rsid w:val="00C21EE6"/>
    <w:rsid w:val="00C22CA3"/>
    <w:rsid w:val="00C23F78"/>
    <w:rsid w:val="00C24BA1"/>
    <w:rsid w:val="00C25EB5"/>
    <w:rsid w:val="00C300C2"/>
    <w:rsid w:val="00C313E9"/>
    <w:rsid w:val="00C31D41"/>
    <w:rsid w:val="00C32478"/>
    <w:rsid w:val="00C33B91"/>
    <w:rsid w:val="00C34383"/>
    <w:rsid w:val="00C3664B"/>
    <w:rsid w:val="00C400B1"/>
    <w:rsid w:val="00C40177"/>
    <w:rsid w:val="00C40FFA"/>
    <w:rsid w:val="00C43E01"/>
    <w:rsid w:val="00C47E16"/>
    <w:rsid w:val="00C47F10"/>
    <w:rsid w:val="00C52B7E"/>
    <w:rsid w:val="00C534FF"/>
    <w:rsid w:val="00C56024"/>
    <w:rsid w:val="00C5607B"/>
    <w:rsid w:val="00C56291"/>
    <w:rsid w:val="00C56F0D"/>
    <w:rsid w:val="00C57476"/>
    <w:rsid w:val="00C60F2E"/>
    <w:rsid w:val="00C619E2"/>
    <w:rsid w:val="00C63DF9"/>
    <w:rsid w:val="00C6459F"/>
    <w:rsid w:val="00C64CB8"/>
    <w:rsid w:val="00C66EF3"/>
    <w:rsid w:val="00C70AF3"/>
    <w:rsid w:val="00C7315C"/>
    <w:rsid w:val="00C73E1A"/>
    <w:rsid w:val="00C76AA7"/>
    <w:rsid w:val="00C7760B"/>
    <w:rsid w:val="00C80459"/>
    <w:rsid w:val="00C8080C"/>
    <w:rsid w:val="00C8172F"/>
    <w:rsid w:val="00C8185E"/>
    <w:rsid w:val="00C832E2"/>
    <w:rsid w:val="00C83761"/>
    <w:rsid w:val="00C839E0"/>
    <w:rsid w:val="00C83FFE"/>
    <w:rsid w:val="00C85A8C"/>
    <w:rsid w:val="00C85D69"/>
    <w:rsid w:val="00C873FF"/>
    <w:rsid w:val="00C90291"/>
    <w:rsid w:val="00C90C82"/>
    <w:rsid w:val="00C90F01"/>
    <w:rsid w:val="00C94995"/>
    <w:rsid w:val="00C94ECE"/>
    <w:rsid w:val="00C95028"/>
    <w:rsid w:val="00C96AFB"/>
    <w:rsid w:val="00CA14B4"/>
    <w:rsid w:val="00CA2D43"/>
    <w:rsid w:val="00CA4D0A"/>
    <w:rsid w:val="00CA6391"/>
    <w:rsid w:val="00CA76DB"/>
    <w:rsid w:val="00CB0838"/>
    <w:rsid w:val="00CB1C2E"/>
    <w:rsid w:val="00CB1F42"/>
    <w:rsid w:val="00CB26D1"/>
    <w:rsid w:val="00CB2BBA"/>
    <w:rsid w:val="00CB6719"/>
    <w:rsid w:val="00CC47E1"/>
    <w:rsid w:val="00CC6A52"/>
    <w:rsid w:val="00CC7824"/>
    <w:rsid w:val="00CC7A02"/>
    <w:rsid w:val="00CC7C16"/>
    <w:rsid w:val="00CD3D48"/>
    <w:rsid w:val="00CD4AB1"/>
    <w:rsid w:val="00CD4FAF"/>
    <w:rsid w:val="00CD5715"/>
    <w:rsid w:val="00CD5CED"/>
    <w:rsid w:val="00CD7854"/>
    <w:rsid w:val="00CE040E"/>
    <w:rsid w:val="00CE04BB"/>
    <w:rsid w:val="00CE2826"/>
    <w:rsid w:val="00CE5D18"/>
    <w:rsid w:val="00CE668C"/>
    <w:rsid w:val="00CE76A8"/>
    <w:rsid w:val="00CF0391"/>
    <w:rsid w:val="00CF1FE4"/>
    <w:rsid w:val="00CF2E04"/>
    <w:rsid w:val="00CF37FB"/>
    <w:rsid w:val="00D002E0"/>
    <w:rsid w:val="00D0076D"/>
    <w:rsid w:val="00D01E90"/>
    <w:rsid w:val="00D02C51"/>
    <w:rsid w:val="00D03983"/>
    <w:rsid w:val="00D044AE"/>
    <w:rsid w:val="00D05A0D"/>
    <w:rsid w:val="00D06C3F"/>
    <w:rsid w:val="00D12C7D"/>
    <w:rsid w:val="00D12E2C"/>
    <w:rsid w:val="00D130A5"/>
    <w:rsid w:val="00D14B66"/>
    <w:rsid w:val="00D1580D"/>
    <w:rsid w:val="00D15BA4"/>
    <w:rsid w:val="00D161FE"/>
    <w:rsid w:val="00D2012A"/>
    <w:rsid w:val="00D20C09"/>
    <w:rsid w:val="00D2427D"/>
    <w:rsid w:val="00D256B7"/>
    <w:rsid w:val="00D30F8F"/>
    <w:rsid w:val="00D31643"/>
    <w:rsid w:val="00D32FAE"/>
    <w:rsid w:val="00D34F45"/>
    <w:rsid w:val="00D36667"/>
    <w:rsid w:val="00D36758"/>
    <w:rsid w:val="00D37851"/>
    <w:rsid w:val="00D37EF5"/>
    <w:rsid w:val="00D40A9B"/>
    <w:rsid w:val="00D42FC4"/>
    <w:rsid w:val="00D43C35"/>
    <w:rsid w:val="00D4400E"/>
    <w:rsid w:val="00D5123A"/>
    <w:rsid w:val="00D535F2"/>
    <w:rsid w:val="00D54B0B"/>
    <w:rsid w:val="00D54EE5"/>
    <w:rsid w:val="00D56091"/>
    <w:rsid w:val="00D5631A"/>
    <w:rsid w:val="00D56BAA"/>
    <w:rsid w:val="00D61CAC"/>
    <w:rsid w:val="00D63EC5"/>
    <w:rsid w:val="00D64886"/>
    <w:rsid w:val="00D64A6C"/>
    <w:rsid w:val="00D66929"/>
    <w:rsid w:val="00D67597"/>
    <w:rsid w:val="00D67BA8"/>
    <w:rsid w:val="00D70838"/>
    <w:rsid w:val="00D71E39"/>
    <w:rsid w:val="00D72E3C"/>
    <w:rsid w:val="00D75B50"/>
    <w:rsid w:val="00D75E92"/>
    <w:rsid w:val="00D770F7"/>
    <w:rsid w:val="00D779B2"/>
    <w:rsid w:val="00D81575"/>
    <w:rsid w:val="00D83A9D"/>
    <w:rsid w:val="00D85535"/>
    <w:rsid w:val="00D90006"/>
    <w:rsid w:val="00D90092"/>
    <w:rsid w:val="00D91094"/>
    <w:rsid w:val="00D920B3"/>
    <w:rsid w:val="00D93AF3"/>
    <w:rsid w:val="00D9626E"/>
    <w:rsid w:val="00DA2983"/>
    <w:rsid w:val="00DA2DD4"/>
    <w:rsid w:val="00DA3704"/>
    <w:rsid w:val="00DA3EB7"/>
    <w:rsid w:val="00DA57DA"/>
    <w:rsid w:val="00DA76C4"/>
    <w:rsid w:val="00DB0304"/>
    <w:rsid w:val="00DB4732"/>
    <w:rsid w:val="00DB5393"/>
    <w:rsid w:val="00DB7556"/>
    <w:rsid w:val="00DC03C9"/>
    <w:rsid w:val="00DC0437"/>
    <w:rsid w:val="00DC08E0"/>
    <w:rsid w:val="00DC1481"/>
    <w:rsid w:val="00DC2492"/>
    <w:rsid w:val="00DC3767"/>
    <w:rsid w:val="00DC3924"/>
    <w:rsid w:val="00DD3119"/>
    <w:rsid w:val="00DD3A92"/>
    <w:rsid w:val="00DD3EE7"/>
    <w:rsid w:val="00DD4582"/>
    <w:rsid w:val="00DE3341"/>
    <w:rsid w:val="00DE36C6"/>
    <w:rsid w:val="00DE716D"/>
    <w:rsid w:val="00DF0FD6"/>
    <w:rsid w:val="00DF1BE3"/>
    <w:rsid w:val="00DF3DED"/>
    <w:rsid w:val="00DF6624"/>
    <w:rsid w:val="00DF6726"/>
    <w:rsid w:val="00E00529"/>
    <w:rsid w:val="00E0466A"/>
    <w:rsid w:val="00E05031"/>
    <w:rsid w:val="00E07DD5"/>
    <w:rsid w:val="00E12F58"/>
    <w:rsid w:val="00E1432D"/>
    <w:rsid w:val="00E14655"/>
    <w:rsid w:val="00E153DB"/>
    <w:rsid w:val="00E212A2"/>
    <w:rsid w:val="00E23248"/>
    <w:rsid w:val="00E2333D"/>
    <w:rsid w:val="00E23CE7"/>
    <w:rsid w:val="00E241CF"/>
    <w:rsid w:val="00E26ED5"/>
    <w:rsid w:val="00E30854"/>
    <w:rsid w:val="00E32BE1"/>
    <w:rsid w:val="00E33883"/>
    <w:rsid w:val="00E33CBC"/>
    <w:rsid w:val="00E3460D"/>
    <w:rsid w:val="00E346C8"/>
    <w:rsid w:val="00E3647E"/>
    <w:rsid w:val="00E36FEF"/>
    <w:rsid w:val="00E37525"/>
    <w:rsid w:val="00E40CE8"/>
    <w:rsid w:val="00E44E1B"/>
    <w:rsid w:val="00E50930"/>
    <w:rsid w:val="00E52CA3"/>
    <w:rsid w:val="00E531C8"/>
    <w:rsid w:val="00E54366"/>
    <w:rsid w:val="00E562BC"/>
    <w:rsid w:val="00E60042"/>
    <w:rsid w:val="00E63785"/>
    <w:rsid w:val="00E63902"/>
    <w:rsid w:val="00E646BC"/>
    <w:rsid w:val="00E70AA6"/>
    <w:rsid w:val="00E801E9"/>
    <w:rsid w:val="00E821CC"/>
    <w:rsid w:val="00E84BE4"/>
    <w:rsid w:val="00E84D30"/>
    <w:rsid w:val="00E85D66"/>
    <w:rsid w:val="00E901DF"/>
    <w:rsid w:val="00E935FA"/>
    <w:rsid w:val="00E93618"/>
    <w:rsid w:val="00E95A08"/>
    <w:rsid w:val="00E95B6E"/>
    <w:rsid w:val="00E97EF2"/>
    <w:rsid w:val="00EA2F1E"/>
    <w:rsid w:val="00EA42EB"/>
    <w:rsid w:val="00EA5CF7"/>
    <w:rsid w:val="00EA640F"/>
    <w:rsid w:val="00EA6AE2"/>
    <w:rsid w:val="00EB0CA9"/>
    <w:rsid w:val="00EB0F71"/>
    <w:rsid w:val="00EB2A8D"/>
    <w:rsid w:val="00EB2CE7"/>
    <w:rsid w:val="00EB2EAA"/>
    <w:rsid w:val="00EB4909"/>
    <w:rsid w:val="00EB60B0"/>
    <w:rsid w:val="00EB6BE6"/>
    <w:rsid w:val="00EC03AE"/>
    <w:rsid w:val="00EC0DAD"/>
    <w:rsid w:val="00EC1F92"/>
    <w:rsid w:val="00EC1F95"/>
    <w:rsid w:val="00ED14BA"/>
    <w:rsid w:val="00ED1F26"/>
    <w:rsid w:val="00ED4931"/>
    <w:rsid w:val="00ED6647"/>
    <w:rsid w:val="00ED6861"/>
    <w:rsid w:val="00EE06D6"/>
    <w:rsid w:val="00EE3A7C"/>
    <w:rsid w:val="00EE3F4F"/>
    <w:rsid w:val="00EE79ED"/>
    <w:rsid w:val="00EF0BB1"/>
    <w:rsid w:val="00EF1557"/>
    <w:rsid w:val="00EF282F"/>
    <w:rsid w:val="00EF35B0"/>
    <w:rsid w:val="00EF43BC"/>
    <w:rsid w:val="00EF6529"/>
    <w:rsid w:val="00EF680E"/>
    <w:rsid w:val="00F010A6"/>
    <w:rsid w:val="00F0353D"/>
    <w:rsid w:val="00F038A2"/>
    <w:rsid w:val="00F06709"/>
    <w:rsid w:val="00F075B6"/>
    <w:rsid w:val="00F07826"/>
    <w:rsid w:val="00F14158"/>
    <w:rsid w:val="00F153B4"/>
    <w:rsid w:val="00F153C8"/>
    <w:rsid w:val="00F161BC"/>
    <w:rsid w:val="00F16A35"/>
    <w:rsid w:val="00F16F40"/>
    <w:rsid w:val="00F266DE"/>
    <w:rsid w:val="00F27080"/>
    <w:rsid w:val="00F307E9"/>
    <w:rsid w:val="00F30D6B"/>
    <w:rsid w:val="00F3138D"/>
    <w:rsid w:val="00F31A31"/>
    <w:rsid w:val="00F31ED7"/>
    <w:rsid w:val="00F36EC1"/>
    <w:rsid w:val="00F37E9A"/>
    <w:rsid w:val="00F40AB5"/>
    <w:rsid w:val="00F40C3D"/>
    <w:rsid w:val="00F42970"/>
    <w:rsid w:val="00F42997"/>
    <w:rsid w:val="00F4343D"/>
    <w:rsid w:val="00F44785"/>
    <w:rsid w:val="00F44C05"/>
    <w:rsid w:val="00F50FC6"/>
    <w:rsid w:val="00F52700"/>
    <w:rsid w:val="00F53045"/>
    <w:rsid w:val="00F53DB5"/>
    <w:rsid w:val="00F53EA4"/>
    <w:rsid w:val="00F554AC"/>
    <w:rsid w:val="00F5686D"/>
    <w:rsid w:val="00F60867"/>
    <w:rsid w:val="00F60E79"/>
    <w:rsid w:val="00F60F08"/>
    <w:rsid w:val="00F61414"/>
    <w:rsid w:val="00F6210F"/>
    <w:rsid w:val="00F62820"/>
    <w:rsid w:val="00F65E63"/>
    <w:rsid w:val="00F67B3A"/>
    <w:rsid w:val="00F67CA8"/>
    <w:rsid w:val="00F70C1D"/>
    <w:rsid w:val="00F72929"/>
    <w:rsid w:val="00F729AB"/>
    <w:rsid w:val="00F73B8A"/>
    <w:rsid w:val="00F757ED"/>
    <w:rsid w:val="00F76A59"/>
    <w:rsid w:val="00F77B0E"/>
    <w:rsid w:val="00F81041"/>
    <w:rsid w:val="00F81360"/>
    <w:rsid w:val="00F81540"/>
    <w:rsid w:val="00F82AA5"/>
    <w:rsid w:val="00F83C67"/>
    <w:rsid w:val="00F846B7"/>
    <w:rsid w:val="00F84EC6"/>
    <w:rsid w:val="00F85F0F"/>
    <w:rsid w:val="00F8613B"/>
    <w:rsid w:val="00F865F4"/>
    <w:rsid w:val="00F86858"/>
    <w:rsid w:val="00F90E57"/>
    <w:rsid w:val="00F91DD1"/>
    <w:rsid w:val="00F92F11"/>
    <w:rsid w:val="00F93075"/>
    <w:rsid w:val="00F9390D"/>
    <w:rsid w:val="00F9415D"/>
    <w:rsid w:val="00F95BEB"/>
    <w:rsid w:val="00F970CB"/>
    <w:rsid w:val="00FA5B57"/>
    <w:rsid w:val="00FA7160"/>
    <w:rsid w:val="00FA743E"/>
    <w:rsid w:val="00FA78A0"/>
    <w:rsid w:val="00FA7A34"/>
    <w:rsid w:val="00FB0AA7"/>
    <w:rsid w:val="00FB5896"/>
    <w:rsid w:val="00FB6D0A"/>
    <w:rsid w:val="00FC011C"/>
    <w:rsid w:val="00FC4D7E"/>
    <w:rsid w:val="00FC5546"/>
    <w:rsid w:val="00FC5F72"/>
    <w:rsid w:val="00FC716A"/>
    <w:rsid w:val="00FC7ABA"/>
    <w:rsid w:val="00FD1613"/>
    <w:rsid w:val="00FD4B5C"/>
    <w:rsid w:val="00FD6060"/>
    <w:rsid w:val="00FE1C27"/>
    <w:rsid w:val="00FE4012"/>
    <w:rsid w:val="00FE4D29"/>
    <w:rsid w:val="00FE6EEF"/>
    <w:rsid w:val="00FE770B"/>
    <w:rsid w:val="00FF1AFF"/>
    <w:rsid w:val="00FF1C5F"/>
    <w:rsid w:val="00FF2D9A"/>
    <w:rsid w:val="00FF3007"/>
    <w:rsid w:val="00FF331C"/>
    <w:rsid w:val="00FF3B9F"/>
    <w:rsid w:val="00FF5794"/>
    <w:rsid w:val="00FF5C00"/>
    <w:rsid w:val="00FF6915"/>
    <w:rsid w:val="00FF6F64"/>
    <w:rsid w:val="00FF7244"/>
    <w:rsid w:val="0127533C"/>
    <w:rsid w:val="01511D51"/>
    <w:rsid w:val="016C71F3"/>
    <w:rsid w:val="01B666C0"/>
    <w:rsid w:val="01FB52C5"/>
    <w:rsid w:val="024C2597"/>
    <w:rsid w:val="02521EB3"/>
    <w:rsid w:val="038D5D8E"/>
    <w:rsid w:val="03AA7B5F"/>
    <w:rsid w:val="04242790"/>
    <w:rsid w:val="04362CA6"/>
    <w:rsid w:val="04C41F91"/>
    <w:rsid w:val="04DD5D12"/>
    <w:rsid w:val="04EF1AD4"/>
    <w:rsid w:val="04F623E0"/>
    <w:rsid w:val="058A5625"/>
    <w:rsid w:val="064A3B80"/>
    <w:rsid w:val="067A4160"/>
    <w:rsid w:val="06CE14FD"/>
    <w:rsid w:val="07341975"/>
    <w:rsid w:val="07463C98"/>
    <w:rsid w:val="07612C2A"/>
    <w:rsid w:val="07A203C9"/>
    <w:rsid w:val="07ED0962"/>
    <w:rsid w:val="089F4EB3"/>
    <w:rsid w:val="08ED4B36"/>
    <w:rsid w:val="09410F65"/>
    <w:rsid w:val="0966201E"/>
    <w:rsid w:val="09AC478C"/>
    <w:rsid w:val="0AD6392F"/>
    <w:rsid w:val="0B4D3662"/>
    <w:rsid w:val="0CAA3075"/>
    <w:rsid w:val="0CCA5E17"/>
    <w:rsid w:val="0D0164E8"/>
    <w:rsid w:val="0D4A2540"/>
    <w:rsid w:val="0DA76D42"/>
    <w:rsid w:val="0E5B4877"/>
    <w:rsid w:val="0E8353B9"/>
    <w:rsid w:val="0EC3241C"/>
    <w:rsid w:val="0EEB72F3"/>
    <w:rsid w:val="0F027318"/>
    <w:rsid w:val="0F2220B3"/>
    <w:rsid w:val="10CA4983"/>
    <w:rsid w:val="11A52D48"/>
    <w:rsid w:val="11F35990"/>
    <w:rsid w:val="138D627D"/>
    <w:rsid w:val="13ED41C3"/>
    <w:rsid w:val="14595894"/>
    <w:rsid w:val="14814769"/>
    <w:rsid w:val="15A7452B"/>
    <w:rsid w:val="15A81E38"/>
    <w:rsid w:val="1699397D"/>
    <w:rsid w:val="16E26FC1"/>
    <w:rsid w:val="17407226"/>
    <w:rsid w:val="196B18E4"/>
    <w:rsid w:val="1A2A3A5A"/>
    <w:rsid w:val="1A4123DA"/>
    <w:rsid w:val="1A4A57A0"/>
    <w:rsid w:val="1AE2176C"/>
    <w:rsid w:val="1CA9240D"/>
    <w:rsid w:val="1DF93765"/>
    <w:rsid w:val="1E770CDE"/>
    <w:rsid w:val="1EA11C7F"/>
    <w:rsid w:val="1EEC32CA"/>
    <w:rsid w:val="1F6D7954"/>
    <w:rsid w:val="200152EE"/>
    <w:rsid w:val="201725C8"/>
    <w:rsid w:val="21551DDD"/>
    <w:rsid w:val="21ED2970"/>
    <w:rsid w:val="2201058C"/>
    <w:rsid w:val="223132A9"/>
    <w:rsid w:val="228422BF"/>
    <w:rsid w:val="229E0D7F"/>
    <w:rsid w:val="22AC349C"/>
    <w:rsid w:val="22EC1AEA"/>
    <w:rsid w:val="23045086"/>
    <w:rsid w:val="232958E5"/>
    <w:rsid w:val="23922691"/>
    <w:rsid w:val="24E0742D"/>
    <w:rsid w:val="24E261BD"/>
    <w:rsid w:val="25096983"/>
    <w:rsid w:val="250B13AD"/>
    <w:rsid w:val="26855482"/>
    <w:rsid w:val="269D1435"/>
    <w:rsid w:val="26B66697"/>
    <w:rsid w:val="26B75F6B"/>
    <w:rsid w:val="27983FEE"/>
    <w:rsid w:val="28163E7C"/>
    <w:rsid w:val="281A0EA7"/>
    <w:rsid w:val="28902F18"/>
    <w:rsid w:val="28EA73ED"/>
    <w:rsid w:val="29254418"/>
    <w:rsid w:val="2934436E"/>
    <w:rsid w:val="2A587A65"/>
    <w:rsid w:val="2C982973"/>
    <w:rsid w:val="2CAA218E"/>
    <w:rsid w:val="2CC96276"/>
    <w:rsid w:val="2CEA52EC"/>
    <w:rsid w:val="2D340315"/>
    <w:rsid w:val="2D507AAA"/>
    <w:rsid w:val="2D59105E"/>
    <w:rsid w:val="2D724EA0"/>
    <w:rsid w:val="2DA27718"/>
    <w:rsid w:val="2DA84860"/>
    <w:rsid w:val="2E0F6941"/>
    <w:rsid w:val="2E397F8D"/>
    <w:rsid w:val="2ED60212"/>
    <w:rsid w:val="2F880DEC"/>
    <w:rsid w:val="30F568D4"/>
    <w:rsid w:val="31062937"/>
    <w:rsid w:val="31F97D80"/>
    <w:rsid w:val="32282AD2"/>
    <w:rsid w:val="32A05461"/>
    <w:rsid w:val="32FF3417"/>
    <w:rsid w:val="33552D94"/>
    <w:rsid w:val="33B95A18"/>
    <w:rsid w:val="33E3479B"/>
    <w:rsid w:val="34362060"/>
    <w:rsid w:val="344F012B"/>
    <w:rsid w:val="348E4659"/>
    <w:rsid w:val="34F24A6A"/>
    <w:rsid w:val="352D3F09"/>
    <w:rsid w:val="35577B20"/>
    <w:rsid w:val="361D5DAC"/>
    <w:rsid w:val="36AD470B"/>
    <w:rsid w:val="37033E4C"/>
    <w:rsid w:val="37E75F6A"/>
    <w:rsid w:val="37FF59C4"/>
    <w:rsid w:val="385E7916"/>
    <w:rsid w:val="38BD1B07"/>
    <w:rsid w:val="3A4E4E14"/>
    <w:rsid w:val="3A9D6AAD"/>
    <w:rsid w:val="3B2E0C53"/>
    <w:rsid w:val="3B436DD0"/>
    <w:rsid w:val="3C5A5BC4"/>
    <w:rsid w:val="3EE738EA"/>
    <w:rsid w:val="3F60143E"/>
    <w:rsid w:val="3FA278F9"/>
    <w:rsid w:val="3FB672B0"/>
    <w:rsid w:val="3FDB3FFB"/>
    <w:rsid w:val="405348C7"/>
    <w:rsid w:val="410C75DA"/>
    <w:rsid w:val="41200E85"/>
    <w:rsid w:val="416845DA"/>
    <w:rsid w:val="425631F9"/>
    <w:rsid w:val="429C453B"/>
    <w:rsid w:val="43393175"/>
    <w:rsid w:val="438A4CDB"/>
    <w:rsid w:val="438C1927"/>
    <w:rsid w:val="43C04BEE"/>
    <w:rsid w:val="43D14812"/>
    <w:rsid w:val="43E353C8"/>
    <w:rsid w:val="44715EAC"/>
    <w:rsid w:val="44892107"/>
    <w:rsid w:val="44FB62CC"/>
    <w:rsid w:val="453550A6"/>
    <w:rsid w:val="455C26A8"/>
    <w:rsid w:val="458143A2"/>
    <w:rsid w:val="45F95442"/>
    <w:rsid w:val="46FF3FF7"/>
    <w:rsid w:val="47A520E4"/>
    <w:rsid w:val="47CA5F56"/>
    <w:rsid w:val="486C312C"/>
    <w:rsid w:val="48961A2D"/>
    <w:rsid w:val="48A61C33"/>
    <w:rsid w:val="48B7766B"/>
    <w:rsid w:val="48C020A2"/>
    <w:rsid w:val="49442301"/>
    <w:rsid w:val="49E072BE"/>
    <w:rsid w:val="4A0C3C11"/>
    <w:rsid w:val="4A16118F"/>
    <w:rsid w:val="4A64231F"/>
    <w:rsid w:val="4A670AD3"/>
    <w:rsid w:val="4A9A7BE2"/>
    <w:rsid w:val="4AAA0A79"/>
    <w:rsid w:val="4AEF3676"/>
    <w:rsid w:val="4B190D08"/>
    <w:rsid w:val="4B527F8E"/>
    <w:rsid w:val="4B984613"/>
    <w:rsid w:val="4BC039AF"/>
    <w:rsid w:val="4BCC73E7"/>
    <w:rsid w:val="4BED4059"/>
    <w:rsid w:val="4BF076A6"/>
    <w:rsid w:val="4D13189E"/>
    <w:rsid w:val="4DA42DD7"/>
    <w:rsid w:val="4E6030DF"/>
    <w:rsid w:val="4E7A2A1A"/>
    <w:rsid w:val="4E7C5C5F"/>
    <w:rsid w:val="4E8D0288"/>
    <w:rsid w:val="4F704C3E"/>
    <w:rsid w:val="4FA925F6"/>
    <w:rsid w:val="504203FE"/>
    <w:rsid w:val="507729BF"/>
    <w:rsid w:val="50BE4216"/>
    <w:rsid w:val="50FF0440"/>
    <w:rsid w:val="510039D6"/>
    <w:rsid w:val="520E0A84"/>
    <w:rsid w:val="526B06CF"/>
    <w:rsid w:val="528742EA"/>
    <w:rsid w:val="53CF4B6D"/>
    <w:rsid w:val="53F60907"/>
    <w:rsid w:val="54D20290"/>
    <w:rsid w:val="54E21478"/>
    <w:rsid w:val="55000B82"/>
    <w:rsid w:val="55377B46"/>
    <w:rsid w:val="55D61384"/>
    <w:rsid w:val="55E517F1"/>
    <w:rsid w:val="56BC528D"/>
    <w:rsid w:val="572A4BAF"/>
    <w:rsid w:val="5763794B"/>
    <w:rsid w:val="57E05080"/>
    <w:rsid w:val="5910111E"/>
    <w:rsid w:val="59103135"/>
    <w:rsid w:val="5A537E83"/>
    <w:rsid w:val="5B663E9A"/>
    <w:rsid w:val="5BDF1651"/>
    <w:rsid w:val="5C171808"/>
    <w:rsid w:val="5CAC3C25"/>
    <w:rsid w:val="5FA2047C"/>
    <w:rsid w:val="60573E1F"/>
    <w:rsid w:val="60647E54"/>
    <w:rsid w:val="60A92CB8"/>
    <w:rsid w:val="60E44ACE"/>
    <w:rsid w:val="60F021CA"/>
    <w:rsid w:val="61267808"/>
    <w:rsid w:val="62565C67"/>
    <w:rsid w:val="62661FF3"/>
    <w:rsid w:val="635F3ABA"/>
    <w:rsid w:val="63D86F45"/>
    <w:rsid w:val="63E009DA"/>
    <w:rsid w:val="645C3E87"/>
    <w:rsid w:val="647A0E19"/>
    <w:rsid w:val="64864378"/>
    <w:rsid w:val="64B97B48"/>
    <w:rsid w:val="64C91B94"/>
    <w:rsid w:val="64E24E9F"/>
    <w:rsid w:val="65377A04"/>
    <w:rsid w:val="65774E7F"/>
    <w:rsid w:val="65830779"/>
    <w:rsid w:val="659F2E46"/>
    <w:rsid w:val="661701F9"/>
    <w:rsid w:val="665972FD"/>
    <w:rsid w:val="66A96ED4"/>
    <w:rsid w:val="66E8749F"/>
    <w:rsid w:val="684D4D29"/>
    <w:rsid w:val="68C44BB6"/>
    <w:rsid w:val="68D53CA2"/>
    <w:rsid w:val="696F5C56"/>
    <w:rsid w:val="6A811292"/>
    <w:rsid w:val="6A9A4F55"/>
    <w:rsid w:val="6AAF0A00"/>
    <w:rsid w:val="6ABB65AF"/>
    <w:rsid w:val="6B026D85"/>
    <w:rsid w:val="6B527C65"/>
    <w:rsid w:val="6BE71FB9"/>
    <w:rsid w:val="6CD66A9A"/>
    <w:rsid w:val="6CD8322B"/>
    <w:rsid w:val="6DE85FD7"/>
    <w:rsid w:val="6E1B0C2B"/>
    <w:rsid w:val="6E1D1F98"/>
    <w:rsid w:val="6E4B6C92"/>
    <w:rsid w:val="6E615BFD"/>
    <w:rsid w:val="6FB617A3"/>
    <w:rsid w:val="707D6EAA"/>
    <w:rsid w:val="71CF7F8B"/>
    <w:rsid w:val="73045661"/>
    <w:rsid w:val="7306039D"/>
    <w:rsid w:val="7329156C"/>
    <w:rsid w:val="73F25E01"/>
    <w:rsid w:val="74AC2F64"/>
    <w:rsid w:val="74C45D82"/>
    <w:rsid w:val="758127C3"/>
    <w:rsid w:val="758E1243"/>
    <w:rsid w:val="763A17EA"/>
    <w:rsid w:val="76CE66B2"/>
    <w:rsid w:val="773F32C3"/>
    <w:rsid w:val="789422DF"/>
    <w:rsid w:val="78C51322"/>
    <w:rsid w:val="78DB6828"/>
    <w:rsid w:val="78E8332F"/>
    <w:rsid w:val="79E874C2"/>
    <w:rsid w:val="7B0A6C95"/>
    <w:rsid w:val="7B18151C"/>
    <w:rsid w:val="7BF63175"/>
    <w:rsid w:val="7BFF2F21"/>
    <w:rsid w:val="7C124867"/>
    <w:rsid w:val="7DCE4CA7"/>
    <w:rsid w:val="7EB50157"/>
    <w:rsid w:val="7F7B2EF8"/>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99" w:semiHidden="0" w:name="toc 3"/>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qFormat="1" w:unhideWhenUsed="0" w:uiPriority="99" w:semiHidden="0" w:name="Normal Indent"/>
    <w:lsdException w:uiPriority="99" w:name="footnote text" w:locked="1"/>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semiHidden="0"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qFormat="1" w:unhideWhenUsed="0" w:uiPriority="99" w:semiHidden="0" w:name="Date"/>
    <w:lsdException w:uiPriority="99" w:name="Body Text First Indent" w:locked="1"/>
    <w:lsdException w:qFormat="1" w:unhideWhenUsed="0" w:uiPriority="0" w:semiHidden="0" w:name="Body Text First Indent 2" w:locked="1"/>
    <w:lsdException w:uiPriority="99" w:name="Note Heading" w:locked="1"/>
    <w:lsdException w:qFormat="1" w:unhideWhenUsed="0" w:uiPriority="99" w:semiHidden="0" w:name="Body Text 2"/>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22" w:semiHidden="0" w:name="Strong" w:locked="1"/>
    <w:lsdException w:qFormat="1" w:unhideWhenUsed="0" w:uiPriority="99" w:semiHidden="0" w:name="Emphasis"/>
    <w:lsdException w:qFormat="1" w:unhideWhenUsed="0" w:uiPriority="99" w:semiHidden="0" w:name="Document Map"/>
    <w:lsdException w:qFormat="1" w:unhideWhenUsed="0" w:uiPriority="99" w:semiHidden="0" w:name="Plain Text"/>
    <w:lsdException w:uiPriority="99" w:name="E-mail Signature" w:locked="1"/>
    <w:lsdException w:qFormat="1" w:uiPriority="99" w:semiHidden="0"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4">
    <w:name w:val="heading 1"/>
    <w:basedOn w:val="1"/>
    <w:next w:val="1"/>
    <w:link w:val="31"/>
    <w:qFormat/>
    <w:uiPriority w:val="99"/>
    <w:pPr>
      <w:keepNext/>
      <w:keepLines/>
      <w:spacing w:before="340" w:after="330" w:line="578" w:lineRule="auto"/>
      <w:jc w:val="center"/>
      <w:outlineLvl w:val="0"/>
    </w:pPr>
    <w:rPr>
      <w:bCs/>
      <w:kern w:val="44"/>
      <w:sz w:val="28"/>
      <w:szCs w:val="44"/>
    </w:rPr>
  </w:style>
  <w:style w:type="paragraph" w:styleId="5">
    <w:name w:val="heading 2"/>
    <w:basedOn w:val="1"/>
    <w:next w:val="1"/>
    <w:link w:val="32"/>
    <w:qFormat/>
    <w:uiPriority w:val="99"/>
    <w:pPr>
      <w:keepNext/>
      <w:keepLines/>
      <w:spacing w:before="260" w:after="260" w:line="416" w:lineRule="auto"/>
      <w:jc w:val="center"/>
      <w:outlineLvl w:val="1"/>
    </w:pPr>
    <w:rPr>
      <w:rFonts w:ascii="Cambria" w:hAnsi="Cambria" w:eastAsia="黑体"/>
      <w:b/>
      <w:bCs/>
      <w:kern w:val="0"/>
      <w:sz w:val="24"/>
      <w:szCs w:val="32"/>
    </w:rPr>
  </w:style>
  <w:style w:type="paragraph" w:styleId="6">
    <w:name w:val="heading 3"/>
    <w:basedOn w:val="1"/>
    <w:next w:val="1"/>
    <w:link w:val="33"/>
    <w:qFormat/>
    <w:uiPriority w:val="99"/>
    <w:pPr>
      <w:keepNext/>
      <w:keepLines/>
      <w:spacing w:before="260" w:after="260" w:line="416" w:lineRule="auto"/>
      <w:outlineLvl w:val="2"/>
    </w:pPr>
    <w:rPr>
      <w:b/>
      <w:bCs/>
      <w:kern w:val="0"/>
      <w:sz w:val="32"/>
      <w:szCs w:val="32"/>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locked/>
    <w:uiPriority w:val="0"/>
  </w:style>
  <w:style w:type="paragraph" w:styleId="3">
    <w:name w:val="Body Text Indent"/>
    <w:basedOn w:val="1"/>
    <w:link w:val="38"/>
    <w:qFormat/>
    <w:uiPriority w:val="99"/>
    <w:pPr>
      <w:ind w:firstLine="420"/>
    </w:pPr>
    <w:rPr>
      <w:rFonts w:ascii="Times New Roman" w:hAnsi="Times New Roman" w:eastAsia="楷体_GB2312"/>
      <w:color w:val="0000FF"/>
      <w:szCs w:val="21"/>
    </w:rPr>
  </w:style>
  <w:style w:type="paragraph" w:styleId="7">
    <w:name w:val="Normal Indent"/>
    <w:basedOn w:val="1"/>
    <w:link w:val="45"/>
    <w:qFormat/>
    <w:uiPriority w:val="99"/>
    <w:pPr>
      <w:ind w:firstLine="420" w:firstLineChars="200"/>
    </w:pPr>
    <w:rPr>
      <w:rFonts w:ascii="Times New Roman" w:hAnsi="Times New Roman"/>
      <w:szCs w:val="24"/>
    </w:rPr>
  </w:style>
  <w:style w:type="paragraph" w:styleId="8">
    <w:name w:val="Document Map"/>
    <w:basedOn w:val="1"/>
    <w:link w:val="36"/>
    <w:qFormat/>
    <w:uiPriority w:val="99"/>
    <w:rPr>
      <w:rFonts w:ascii="宋体"/>
      <w:sz w:val="18"/>
      <w:szCs w:val="18"/>
    </w:rPr>
  </w:style>
  <w:style w:type="paragraph" w:styleId="9">
    <w:name w:val="annotation text"/>
    <w:basedOn w:val="1"/>
    <w:link w:val="34"/>
    <w:qFormat/>
    <w:uiPriority w:val="0"/>
    <w:pPr>
      <w:jc w:val="left"/>
    </w:pPr>
  </w:style>
  <w:style w:type="paragraph" w:styleId="10">
    <w:name w:val="Body Text"/>
    <w:basedOn w:val="1"/>
    <w:link w:val="37"/>
    <w:qFormat/>
    <w:uiPriority w:val="99"/>
    <w:pPr>
      <w:spacing w:after="120"/>
    </w:pPr>
  </w:style>
  <w:style w:type="paragraph" w:styleId="11">
    <w:name w:val="toc 3"/>
    <w:basedOn w:val="1"/>
    <w:next w:val="1"/>
    <w:qFormat/>
    <w:uiPriority w:val="99"/>
    <w:pPr>
      <w:ind w:left="840" w:leftChars="400"/>
    </w:pPr>
  </w:style>
  <w:style w:type="paragraph" w:styleId="12">
    <w:name w:val="Plain Text"/>
    <w:basedOn w:val="1"/>
    <w:link w:val="39"/>
    <w:qFormat/>
    <w:uiPriority w:val="99"/>
    <w:rPr>
      <w:rFonts w:ascii="宋体" w:hAnsi="Courier New"/>
      <w:szCs w:val="21"/>
    </w:rPr>
  </w:style>
  <w:style w:type="paragraph" w:styleId="13">
    <w:name w:val="Date"/>
    <w:basedOn w:val="1"/>
    <w:next w:val="1"/>
    <w:link w:val="40"/>
    <w:qFormat/>
    <w:uiPriority w:val="99"/>
    <w:pPr>
      <w:ind w:left="100" w:leftChars="2500"/>
    </w:pPr>
  </w:style>
  <w:style w:type="paragraph" w:styleId="14">
    <w:name w:val="Balloon Text"/>
    <w:basedOn w:val="1"/>
    <w:link w:val="41"/>
    <w:qFormat/>
    <w:uiPriority w:val="99"/>
    <w:rPr>
      <w:sz w:val="18"/>
      <w:szCs w:val="18"/>
    </w:rPr>
  </w:style>
  <w:style w:type="paragraph" w:styleId="15">
    <w:name w:val="footer"/>
    <w:basedOn w:val="1"/>
    <w:link w:val="42"/>
    <w:qFormat/>
    <w:uiPriority w:val="99"/>
    <w:pPr>
      <w:tabs>
        <w:tab w:val="center" w:pos="4153"/>
        <w:tab w:val="right" w:pos="8306"/>
      </w:tabs>
      <w:snapToGrid w:val="0"/>
      <w:jc w:val="left"/>
    </w:pPr>
    <w:rPr>
      <w:kern w:val="0"/>
      <w:sz w:val="18"/>
      <w:szCs w:val="18"/>
    </w:rPr>
  </w:style>
  <w:style w:type="paragraph" w:styleId="16">
    <w:name w:val="header"/>
    <w:basedOn w:val="1"/>
    <w:link w:val="43"/>
    <w:qFormat/>
    <w:uiPriority w:val="99"/>
    <w:pPr>
      <w:pBdr>
        <w:bottom w:val="single" w:color="auto" w:sz="6" w:space="1"/>
      </w:pBdr>
      <w:tabs>
        <w:tab w:val="center" w:pos="4153"/>
        <w:tab w:val="right" w:pos="8306"/>
      </w:tabs>
      <w:snapToGrid w:val="0"/>
      <w:jc w:val="center"/>
    </w:pPr>
    <w:rPr>
      <w:kern w:val="0"/>
      <w:sz w:val="18"/>
      <w:szCs w:val="18"/>
    </w:rPr>
  </w:style>
  <w:style w:type="paragraph" w:styleId="17">
    <w:name w:val="toc 1"/>
    <w:basedOn w:val="1"/>
    <w:next w:val="1"/>
    <w:qFormat/>
    <w:uiPriority w:val="39"/>
    <w:pPr>
      <w:tabs>
        <w:tab w:val="right" w:leader="dot" w:pos="9016"/>
      </w:tabs>
      <w:spacing w:line="360" w:lineRule="auto"/>
      <w:jc w:val="center"/>
    </w:pPr>
    <w:rPr>
      <w:rFonts w:ascii="Times New Roman" w:hAnsi="Times New Roman"/>
      <w:b/>
      <w:color w:val="000000"/>
      <w:sz w:val="28"/>
      <w:szCs w:val="28"/>
      <w:lang w:val="zh-CN"/>
    </w:rPr>
  </w:style>
  <w:style w:type="paragraph" w:styleId="18">
    <w:name w:val="Subtitle"/>
    <w:basedOn w:val="1"/>
    <w:next w:val="1"/>
    <w:link w:val="89"/>
    <w:qFormat/>
    <w:locked/>
    <w:uiPriority w:val="11"/>
    <w:pPr>
      <w:spacing w:before="240" w:after="60" w:line="312" w:lineRule="auto"/>
      <w:jc w:val="center"/>
      <w:outlineLvl w:val="1"/>
    </w:pPr>
    <w:rPr>
      <w:rFonts w:asciiTheme="minorHAnsi" w:hAnsiTheme="minorHAnsi" w:eastAsiaTheme="minorEastAsia" w:cstheme="minorBidi"/>
      <w:b/>
      <w:bCs/>
      <w:kern w:val="28"/>
      <w:sz w:val="32"/>
      <w:szCs w:val="32"/>
    </w:rPr>
  </w:style>
  <w:style w:type="paragraph" w:styleId="19">
    <w:name w:val="toc 2"/>
    <w:basedOn w:val="1"/>
    <w:next w:val="1"/>
    <w:qFormat/>
    <w:uiPriority w:val="39"/>
    <w:pPr>
      <w:tabs>
        <w:tab w:val="right" w:leader="dot" w:pos="9016"/>
      </w:tabs>
      <w:spacing w:line="360" w:lineRule="auto"/>
      <w:ind w:left="420" w:leftChars="200"/>
    </w:pPr>
    <w:rPr>
      <w:rFonts w:ascii="Times New Roman" w:hAnsi="Times New Roman"/>
      <w:color w:val="000000"/>
      <w:sz w:val="24"/>
    </w:rPr>
  </w:style>
  <w:style w:type="paragraph" w:styleId="20">
    <w:name w:val="Body Text 2"/>
    <w:basedOn w:val="1"/>
    <w:link w:val="44"/>
    <w:qFormat/>
    <w:uiPriority w:val="99"/>
    <w:pPr>
      <w:spacing w:after="120" w:line="480" w:lineRule="auto"/>
    </w:pPr>
  </w:style>
  <w:style w:type="paragraph" w:styleId="21">
    <w:name w:val="Normal (Web)"/>
    <w:basedOn w:val="1"/>
    <w:unhideWhenUsed/>
    <w:qFormat/>
    <w:locked/>
    <w:uiPriority w:val="99"/>
    <w:pPr>
      <w:widowControl/>
      <w:spacing w:before="100" w:beforeAutospacing="1" w:after="100" w:afterAutospacing="1"/>
      <w:jc w:val="left"/>
    </w:pPr>
    <w:rPr>
      <w:rFonts w:ascii="宋体" w:hAnsi="宋体" w:cs="宋体"/>
      <w:kern w:val="0"/>
      <w:sz w:val="24"/>
      <w:szCs w:val="24"/>
    </w:rPr>
  </w:style>
  <w:style w:type="paragraph" w:styleId="22">
    <w:name w:val="Title"/>
    <w:basedOn w:val="1"/>
    <w:next w:val="1"/>
    <w:link w:val="88"/>
    <w:qFormat/>
    <w:locked/>
    <w:uiPriority w:val="10"/>
    <w:pPr>
      <w:spacing w:before="240" w:after="60"/>
      <w:jc w:val="center"/>
      <w:outlineLvl w:val="0"/>
    </w:pPr>
    <w:rPr>
      <w:rFonts w:asciiTheme="majorHAnsi" w:hAnsiTheme="majorHAnsi" w:eastAsiaTheme="majorEastAsia" w:cstheme="majorBidi"/>
      <w:b/>
      <w:bCs/>
      <w:sz w:val="32"/>
      <w:szCs w:val="32"/>
    </w:rPr>
  </w:style>
  <w:style w:type="paragraph" w:styleId="23">
    <w:name w:val="annotation subject"/>
    <w:basedOn w:val="9"/>
    <w:next w:val="9"/>
    <w:link w:val="35"/>
    <w:qFormat/>
    <w:uiPriority w:val="99"/>
    <w:rPr>
      <w:b/>
      <w:bCs/>
    </w:rPr>
  </w:style>
  <w:style w:type="table" w:styleId="25">
    <w:name w:val="Table Grid"/>
    <w:basedOn w:val="24"/>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page number"/>
    <w:qFormat/>
    <w:uiPriority w:val="99"/>
    <w:rPr>
      <w:rFonts w:cs="Times New Roman"/>
    </w:rPr>
  </w:style>
  <w:style w:type="character" w:styleId="28">
    <w:name w:val="Emphasis"/>
    <w:qFormat/>
    <w:uiPriority w:val="99"/>
    <w:rPr>
      <w:rFonts w:cs="Times New Roman"/>
      <w:i/>
    </w:rPr>
  </w:style>
  <w:style w:type="character" w:styleId="29">
    <w:name w:val="Hyperlink"/>
    <w:qFormat/>
    <w:uiPriority w:val="99"/>
    <w:rPr>
      <w:rFonts w:cs="Times New Roman"/>
      <w:color w:val="0000FF"/>
      <w:u w:val="single"/>
    </w:rPr>
  </w:style>
  <w:style w:type="character" w:styleId="30">
    <w:name w:val="annotation reference"/>
    <w:qFormat/>
    <w:uiPriority w:val="99"/>
    <w:rPr>
      <w:rFonts w:cs="Times New Roman"/>
      <w:sz w:val="21"/>
    </w:rPr>
  </w:style>
  <w:style w:type="character" w:customStyle="1" w:styleId="31">
    <w:name w:val="标题 1 Char"/>
    <w:link w:val="4"/>
    <w:qFormat/>
    <w:locked/>
    <w:uiPriority w:val="99"/>
    <w:rPr>
      <w:rFonts w:eastAsia="宋体"/>
      <w:kern w:val="44"/>
      <w:sz w:val="28"/>
    </w:rPr>
  </w:style>
  <w:style w:type="character" w:customStyle="1" w:styleId="32">
    <w:name w:val="标题 2 Char"/>
    <w:link w:val="5"/>
    <w:qFormat/>
    <w:locked/>
    <w:uiPriority w:val="99"/>
    <w:rPr>
      <w:rFonts w:ascii="Cambria" w:hAnsi="Cambria" w:eastAsia="黑体"/>
      <w:b/>
      <w:sz w:val="24"/>
    </w:rPr>
  </w:style>
  <w:style w:type="character" w:customStyle="1" w:styleId="33">
    <w:name w:val="标题 3 Char"/>
    <w:link w:val="6"/>
    <w:qFormat/>
    <w:locked/>
    <w:uiPriority w:val="99"/>
    <w:rPr>
      <w:b/>
      <w:sz w:val="32"/>
    </w:rPr>
  </w:style>
  <w:style w:type="character" w:customStyle="1" w:styleId="34">
    <w:name w:val="批注文字 Char"/>
    <w:link w:val="9"/>
    <w:qFormat/>
    <w:locked/>
    <w:uiPriority w:val="0"/>
    <w:rPr>
      <w:kern w:val="2"/>
      <w:sz w:val="22"/>
    </w:rPr>
  </w:style>
  <w:style w:type="character" w:customStyle="1" w:styleId="35">
    <w:name w:val="批注主题 Char"/>
    <w:link w:val="23"/>
    <w:qFormat/>
    <w:locked/>
    <w:uiPriority w:val="99"/>
    <w:rPr>
      <w:b/>
      <w:kern w:val="2"/>
      <w:sz w:val="22"/>
    </w:rPr>
  </w:style>
  <w:style w:type="character" w:customStyle="1" w:styleId="36">
    <w:name w:val="文档结构图 Char"/>
    <w:link w:val="8"/>
    <w:qFormat/>
    <w:locked/>
    <w:uiPriority w:val="99"/>
    <w:rPr>
      <w:rFonts w:ascii="宋体"/>
      <w:kern w:val="2"/>
      <w:sz w:val="18"/>
    </w:rPr>
  </w:style>
  <w:style w:type="character" w:customStyle="1" w:styleId="37">
    <w:name w:val="正文文本 Char"/>
    <w:link w:val="10"/>
    <w:qFormat/>
    <w:locked/>
    <w:uiPriority w:val="99"/>
    <w:rPr>
      <w:kern w:val="2"/>
      <w:sz w:val="22"/>
    </w:rPr>
  </w:style>
  <w:style w:type="character" w:customStyle="1" w:styleId="38">
    <w:name w:val="正文文本缩进 Char"/>
    <w:link w:val="3"/>
    <w:qFormat/>
    <w:locked/>
    <w:uiPriority w:val="99"/>
    <w:rPr>
      <w:rFonts w:ascii="Times New Roman" w:hAnsi="Times New Roman" w:eastAsia="楷体_GB2312"/>
      <w:color w:val="0000FF"/>
      <w:kern w:val="2"/>
      <w:sz w:val="21"/>
    </w:rPr>
  </w:style>
  <w:style w:type="character" w:customStyle="1" w:styleId="39">
    <w:name w:val="纯文本 Char"/>
    <w:link w:val="12"/>
    <w:qFormat/>
    <w:locked/>
    <w:uiPriority w:val="99"/>
    <w:rPr>
      <w:rFonts w:ascii="宋体" w:hAnsi="Courier New"/>
      <w:kern w:val="2"/>
      <w:sz w:val="21"/>
    </w:rPr>
  </w:style>
  <w:style w:type="character" w:customStyle="1" w:styleId="40">
    <w:name w:val="日期 Char"/>
    <w:link w:val="13"/>
    <w:qFormat/>
    <w:locked/>
    <w:uiPriority w:val="99"/>
    <w:rPr>
      <w:kern w:val="2"/>
      <w:sz w:val="22"/>
    </w:rPr>
  </w:style>
  <w:style w:type="character" w:customStyle="1" w:styleId="41">
    <w:name w:val="批注框文本 Char"/>
    <w:link w:val="14"/>
    <w:qFormat/>
    <w:locked/>
    <w:uiPriority w:val="99"/>
    <w:rPr>
      <w:kern w:val="2"/>
      <w:sz w:val="18"/>
    </w:rPr>
  </w:style>
  <w:style w:type="character" w:customStyle="1" w:styleId="42">
    <w:name w:val="页脚 Char"/>
    <w:link w:val="15"/>
    <w:qFormat/>
    <w:locked/>
    <w:uiPriority w:val="99"/>
    <w:rPr>
      <w:sz w:val="18"/>
    </w:rPr>
  </w:style>
  <w:style w:type="character" w:customStyle="1" w:styleId="43">
    <w:name w:val="页眉 Char"/>
    <w:link w:val="16"/>
    <w:qFormat/>
    <w:locked/>
    <w:uiPriority w:val="99"/>
    <w:rPr>
      <w:sz w:val="18"/>
    </w:rPr>
  </w:style>
  <w:style w:type="character" w:customStyle="1" w:styleId="44">
    <w:name w:val="正文文本 2 Char"/>
    <w:link w:val="20"/>
    <w:qFormat/>
    <w:locked/>
    <w:uiPriority w:val="99"/>
    <w:rPr>
      <w:kern w:val="2"/>
      <w:sz w:val="22"/>
    </w:rPr>
  </w:style>
  <w:style w:type="character" w:customStyle="1" w:styleId="45">
    <w:name w:val="正文缩进 Char"/>
    <w:link w:val="7"/>
    <w:qFormat/>
    <w:locked/>
    <w:uiPriority w:val="99"/>
    <w:rPr>
      <w:rFonts w:ascii="Times New Roman" w:hAnsi="Times New Roman"/>
      <w:kern w:val="2"/>
      <w:sz w:val="24"/>
    </w:rPr>
  </w:style>
  <w:style w:type="character" w:customStyle="1" w:styleId="46">
    <w:name w:val="Font Style129"/>
    <w:qFormat/>
    <w:uiPriority w:val="99"/>
    <w:rPr>
      <w:rFonts w:ascii="宋体" w:eastAsia="宋体"/>
      <w:b/>
      <w:sz w:val="18"/>
    </w:rPr>
  </w:style>
  <w:style w:type="character" w:customStyle="1" w:styleId="47">
    <w:name w:val="hps"/>
    <w:qFormat/>
    <w:uiPriority w:val="99"/>
    <w:rPr>
      <w:rFonts w:cs="Times New Roman"/>
    </w:rPr>
  </w:style>
  <w:style w:type="character" w:customStyle="1" w:styleId="48">
    <w:name w:val="apple-converted-space"/>
    <w:qFormat/>
    <w:uiPriority w:val="99"/>
    <w:rPr>
      <w:rFonts w:cs="Times New Roman"/>
    </w:rPr>
  </w:style>
  <w:style w:type="character" w:customStyle="1" w:styleId="49">
    <w:name w:val="highlight1"/>
    <w:qFormat/>
    <w:uiPriority w:val="99"/>
    <w:rPr>
      <w:shd w:val="clear" w:color="auto" w:fill="FFFF00"/>
    </w:rPr>
  </w:style>
  <w:style w:type="character" w:customStyle="1" w:styleId="50">
    <w:name w:val="highlight"/>
    <w:qFormat/>
    <w:uiPriority w:val="99"/>
    <w:rPr>
      <w:rFonts w:cs="Times New Roman"/>
    </w:rPr>
  </w:style>
  <w:style w:type="character" w:customStyle="1" w:styleId="51">
    <w:name w:val="apple-style-span"/>
    <w:qFormat/>
    <w:uiPriority w:val="99"/>
    <w:rPr>
      <w:rFonts w:cs="Times New Roman"/>
    </w:rPr>
  </w:style>
  <w:style w:type="character" w:customStyle="1" w:styleId="52">
    <w:name w:val="段 Char Char"/>
    <w:qFormat/>
    <w:uiPriority w:val="99"/>
    <w:rPr>
      <w:rFonts w:ascii="宋体"/>
      <w:sz w:val="21"/>
      <w:lang w:val="en-US" w:eastAsia="zh-CN"/>
    </w:rPr>
  </w:style>
  <w:style w:type="character" w:customStyle="1" w:styleId="53">
    <w:name w:val="段 Char Char Char"/>
    <w:link w:val="54"/>
    <w:qFormat/>
    <w:locked/>
    <w:uiPriority w:val="99"/>
    <w:rPr>
      <w:rFonts w:ascii="宋体" w:hAnsi="Times New Roman"/>
      <w:sz w:val="22"/>
      <w:lang w:val="en-US" w:eastAsia="zh-CN"/>
    </w:rPr>
  </w:style>
  <w:style w:type="paragraph" w:customStyle="1" w:styleId="54">
    <w:name w:val="段"/>
    <w:link w:val="53"/>
    <w:qFormat/>
    <w:uiPriority w:val="99"/>
    <w:pPr>
      <w:tabs>
        <w:tab w:val="center" w:pos="4201"/>
        <w:tab w:val="right" w:leader="dot" w:pos="9298"/>
      </w:tabs>
      <w:autoSpaceDE w:val="0"/>
      <w:autoSpaceDN w:val="0"/>
      <w:ind w:firstLine="420" w:firstLineChars="200"/>
      <w:jc w:val="both"/>
    </w:pPr>
    <w:rPr>
      <w:rFonts w:ascii="宋体" w:hAnsi="Times New Roman" w:eastAsia="宋体" w:cs="Times New Roman"/>
      <w:sz w:val="21"/>
      <w:szCs w:val="22"/>
      <w:lang w:val="en-US" w:eastAsia="zh-CN" w:bidi="ar-SA"/>
    </w:rPr>
  </w:style>
  <w:style w:type="paragraph" w:customStyle="1" w:styleId="55">
    <w:name w:val="四级条标题"/>
    <w:basedOn w:val="56"/>
    <w:next w:val="54"/>
    <w:qFormat/>
    <w:uiPriority w:val="99"/>
    <w:pPr>
      <w:outlineLvl w:val="5"/>
    </w:pPr>
  </w:style>
  <w:style w:type="paragraph" w:customStyle="1" w:styleId="56">
    <w:name w:val="三级条标题"/>
    <w:basedOn w:val="57"/>
    <w:next w:val="54"/>
    <w:qFormat/>
    <w:uiPriority w:val="99"/>
    <w:pPr>
      <w:outlineLvl w:val="4"/>
    </w:pPr>
  </w:style>
  <w:style w:type="paragraph" w:customStyle="1" w:styleId="57">
    <w:name w:val="二级条标题"/>
    <w:basedOn w:val="58"/>
    <w:next w:val="54"/>
    <w:qFormat/>
    <w:uiPriority w:val="99"/>
    <w:pPr>
      <w:spacing w:beforeLines="0" w:afterLines="0"/>
      <w:outlineLvl w:val="3"/>
    </w:pPr>
  </w:style>
  <w:style w:type="paragraph" w:customStyle="1" w:styleId="58">
    <w:name w:val="一级条标题"/>
    <w:next w:val="54"/>
    <w:qFormat/>
    <w:uiPriority w:val="99"/>
    <w:pPr>
      <w:spacing w:beforeLines="50" w:afterLines="50"/>
      <w:outlineLvl w:val="2"/>
    </w:pPr>
    <w:rPr>
      <w:rFonts w:ascii="黑体" w:hAnsi="Times New Roman" w:eastAsia="黑体" w:cs="Times New Roman"/>
      <w:kern w:val="2"/>
      <w:sz w:val="21"/>
      <w:szCs w:val="21"/>
      <w:lang w:val="en-US" w:eastAsia="zh-CN" w:bidi="ar-SA"/>
    </w:rPr>
  </w:style>
  <w:style w:type="paragraph" w:customStyle="1" w:styleId="59">
    <w:name w:val="Default"/>
    <w:qFormat/>
    <w:uiPriority w:val="99"/>
    <w:pPr>
      <w:widowControl w:val="0"/>
      <w:autoSpaceDE w:val="0"/>
      <w:autoSpaceDN w:val="0"/>
      <w:adjustRightInd w:val="0"/>
    </w:pPr>
    <w:rPr>
      <w:rFonts w:ascii="宋体" w:hAnsi="Calibri" w:eastAsia="宋体" w:cs="宋体"/>
      <w:color w:val="000000"/>
      <w:kern w:val="2"/>
      <w:sz w:val="24"/>
      <w:szCs w:val="24"/>
      <w:lang w:val="en-US" w:eastAsia="zh-CN" w:bidi="ar-SA"/>
    </w:rPr>
  </w:style>
  <w:style w:type="paragraph" w:customStyle="1" w:styleId="60">
    <w:name w:val="封面标准文稿编辑信息"/>
    <w:qFormat/>
    <w:uiPriority w:val="99"/>
    <w:pPr>
      <w:spacing w:before="180" w:line="180" w:lineRule="exact"/>
      <w:jc w:val="center"/>
    </w:pPr>
    <w:rPr>
      <w:rFonts w:ascii="宋体" w:hAnsi="Times New Roman" w:eastAsia="宋体" w:cs="Times New Roman"/>
      <w:kern w:val="2"/>
      <w:sz w:val="21"/>
      <w:szCs w:val="22"/>
      <w:lang w:val="en-US" w:eastAsia="zh-CN" w:bidi="ar-SA"/>
    </w:rPr>
  </w:style>
  <w:style w:type="paragraph" w:customStyle="1" w:styleId="61">
    <w:name w:val="修订1"/>
    <w:qFormat/>
    <w:uiPriority w:val="99"/>
    <w:rPr>
      <w:rFonts w:ascii="Calibri" w:hAnsi="Calibri" w:eastAsia="宋体" w:cs="Times New Roman"/>
      <w:kern w:val="2"/>
      <w:sz w:val="21"/>
      <w:szCs w:val="22"/>
      <w:lang w:val="en-US" w:eastAsia="zh-CN" w:bidi="ar-SA"/>
    </w:rPr>
  </w:style>
  <w:style w:type="paragraph" w:customStyle="1" w:styleId="62">
    <w:name w:val="附录一级无"/>
    <w:basedOn w:val="1"/>
    <w:qFormat/>
    <w:uiPriority w:val="99"/>
    <w:pPr>
      <w:widowControl/>
      <w:tabs>
        <w:tab w:val="left" w:pos="1544"/>
      </w:tabs>
      <w:wordWrap w:val="0"/>
      <w:overflowPunct w:val="0"/>
      <w:autoSpaceDE w:val="0"/>
      <w:autoSpaceDN w:val="0"/>
      <w:ind w:left="1544" w:hanging="420"/>
      <w:textAlignment w:val="baseline"/>
      <w:outlineLvl w:val="2"/>
    </w:pPr>
    <w:rPr>
      <w:rFonts w:ascii="宋体" w:hAnsi="Times New Roman"/>
      <w:kern w:val="21"/>
      <w:szCs w:val="21"/>
    </w:rPr>
  </w:style>
  <w:style w:type="paragraph" w:customStyle="1" w:styleId="63">
    <w:name w:val="附录章标题"/>
    <w:next w:val="54"/>
    <w:qFormat/>
    <w:uiPriority w:val="99"/>
    <w:pPr>
      <w:tabs>
        <w:tab w:val="left" w:pos="360"/>
      </w:tabs>
      <w:wordWrap w:val="0"/>
      <w:overflowPunct w:val="0"/>
      <w:autoSpaceDE w:val="0"/>
      <w:spacing w:beforeLines="100" w:afterLines="100"/>
      <w:ind w:left="1124" w:hanging="420"/>
      <w:jc w:val="both"/>
      <w:textAlignment w:val="baseline"/>
      <w:outlineLvl w:val="1"/>
    </w:pPr>
    <w:rPr>
      <w:rFonts w:ascii="黑体" w:hAnsi="Times New Roman" w:eastAsia="黑体" w:cs="Times New Roman"/>
      <w:kern w:val="21"/>
      <w:sz w:val="21"/>
      <w:szCs w:val="22"/>
      <w:lang w:val="en-US" w:eastAsia="zh-CN" w:bidi="ar-SA"/>
    </w:rPr>
  </w:style>
  <w:style w:type="paragraph" w:customStyle="1" w:styleId="64">
    <w:name w:val="Char"/>
    <w:basedOn w:val="1"/>
    <w:qFormat/>
    <w:uiPriority w:val="99"/>
    <w:pPr>
      <w:tabs>
        <w:tab w:val="left" w:pos="4665"/>
        <w:tab w:val="left" w:pos="8970"/>
      </w:tabs>
      <w:ind w:firstLine="400"/>
    </w:pPr>
    <w:rPr>
      <w:rFonts w:ascii="Tahoma" w:hAnsi="Tahoma" w:cs="Tahoma"/>
      <w:sz w:val="24"/>
      <w:szCs w:val="24"/>
    </w:rPr>
  </w:style>
  <w:style w:type="paragraph" w:customStyle="1" w:styleId="65">
    <w:name w:val="Char Char Char Char Char Char Char Char Char Char Char Char Char Char Char Char"/>
    <w:basedOn w:val="1"/>
    <w:qFormat/>
    <w:uiPriority w:val="99"/>
    <w:pPr>
      <w:tabs>
        <w:tab w:val="left" w:pos="360"/>
      </w:tabs>
    </w:pPr>
    <w:rPr>
      <w:rFonts w:ascii="Times New Roman" w:hAnsi="Times New Roman"/>
      <w:sz w:val="24"/>
      <w:szCs w:val="24"/>
    </w:rPr>
  </w:style>
  <w:style w:type="paragraph" w:customStyle="1" w:styleId="66">
    <w:name w:val="Char Char Char Char"/>
    <w:basedOn w:val="1"/>
    <w:qFormat/>
    <w:uiPriority w:val="99"/>
    <w:pPr>
      <w:spacing w:line="360" w:lineRule="auto"/>
    </w:pPr>
    <w:rPr>
      <w:rFonts w:ascii="Tahoma" w:hAnsi="Tahoma"/>
      <w:sz w:val="24"/>
      <w:szCs w:val="20"/>
    </w:rPr>
  </w:style>
  <w:style w:type="paragraph" w:customStyle="1" w:styleId="67">
    <w:name w:val="tgt2"/>
    <w:basedOn w:val="1"/>
    <w:qFormat/>
    <w:uiPriority w:val="99"/>
    <w:pPr>
      <w:widowControl/>
      <w:spacing w:after="125" w:line="360" w:lineRule="auto"/>
      <w:jc w:val="left"/>
    </w:pPr>
    <w:rPr>
      <w:rFonts w:ascii="宋体" w:hAnsi="宋体" w:cs="宋体"/>
      <w:b/>
      <w:bCs/>
      <w:kern w:val="0"/>
      <w:sz w:val="36"/>
      <w:szCs w:val="36"/>
    </w:rPr>
  </w:style>
  <w:style w:type="paragraph" w:customStyle="1" w:styleId="68">
    <w:name w:val="正文表标题"/>
    <w:next w:val="54"/>
    <w:qFormat/>
    <w:uiPriority w:val="99"/>
    <w:pPr>
      <w:tabs>
        <w:tab w:val="left" w:pos="360"/>
      </w:tabs>
      <w:spacing w:beforeLines="50" w:afterLines="50"/>
      <w:jc w:val="center"/>
    </w:pPr>
    <w:rPr>
      <w:rFonts w:ascii="黑体" w:hAnsi="Times New Roman" w:eastAsia="黑体" w:cs="Times New Roman"/>
      <w:kern w:val="2"/>
      <w:sz w:val="21"/>
      <w:szCs w:val="22"/>
      <w:lang w:val="en-US" w:eastAsia="zh-CN" w:bidi="ar-SA"/>
    </w:rPr>
  </w:style>
  <w:style w:type="paragraph" w:customStyle="1" w:styleId="69">
    <w:name w:val="五级条标题"/>
    <w:basedOn w:val="55"/>
    <w:next w:val="54"/>
    <w:qFormat/>
    <w:uiPriority w:val="99"/>
    <w:pPr>
      <w:outlineLvl w:val="6"/>
    </w:pPr>
  </w:style>
  <w:style w:type="paragraph" w:customStyle="1" w:styleId="70">
    <w:name w:val="附录标识"/>
    <w:basedOn w:val="1"/>
    <w:next w:val="54"/>
    <w:qFormat/>
    <w:uiPriority w:val="99"/>
    <w:pPr>
      <w:keepNext/>
      <w:widowControl/>
      <w:shd w:val="clear" w:color="FFFFFF" w:fill="FFFFFF"/>
      <w:tabs>
        <w:tab w:val="left" w:pos="360"/>
        <w:tab w:val="left" w:pos="6405"/>
      </w:tabs>
      <w:spacing w:before="640" w:after="280"/>
      <w:ind w:left="1004" w:hanging="720"/>
      <w:jc w:val="center"/>
      <w:outlineLvl w:val="0"/>
    </w:pPr>
    <w:rPr>
      <w:rFonts w:ascii="黑体" w:hAnsi="Times New Roman" w:eastAsia="黑体"/>
      <w:kern w:val="0"/>
      <w:szCs w:val="20"/>
    </w:rPr>
  </w:style>
  <w:style w:type="paragraph" w:customStyle="1" w:styleId="71">
    <w:name w:val="TOC 标题1"/>
    <w:basedOn w:val="4"/>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72">
    <w:name w:val="章标题"/>
    <w:next w:val="54"/>
    <w:qFormat/>
    <w:uiPriority w:val="99"/>
    <w:pPr>
      <w:spacing w:beforeLines="100" w:afterLines="100"/>
      <w:jc w:val="both"/>
      <w:outlineLvl w:val="1"/>
    </w:pPr>
    <w:rPr>
      <w:rFonts w:ascii="黑体" w:hAnsi="Times New Roman" w:eastAsia="黑体" w:cs="Times New Roman"/>
      <w:kern w:val="2"/>
      <w:sz w:val="21"/>
      <w:szCs w:val="22"/>
      <w:lang w:val="en-US" w:eastAsia="zh-CN" w:bidi="ar-SA"/>
    </w:rPr>
  </w:style>
  <w:style w:type="character" w:customStyle="1" w:styleId="73">
    <w:name w:val="占位符文本1"/>
    <w:semiHidden/>
    <w:qFormat/>
    <w:uiPriority w:val="99"/>
    <w:rPr>
      <w:rFonts w:cs="Times New Roman"/>
      <w:color w:val="808080"/>
    </w:rPr>
  </w:style>
  <w:style w:type="paragraph" w:customStyle="1" w:styleId="74">
    <w:name w:val="列出段落1"/>
    <w:basedOn w:val="1"/>
    <w:qFormat/>
    <w:uiPriority w:val="99"/>
    <w:pPr>
      <w:ind w:firstLine="420" w:firstLineChars="200"/>
    </w:pPr>
  </w:style>
  <w:style w:type="paragraph" w:customStyle="1" w:styleId="75">
    <w:name w:val="修订2"/>
    <w:hidden/>
    <w:semiHidden/>
    <w:qFormat/>
    <w:uiPriority w:val="99"/>
    <w:rPr>
      <w:rFonts w:ascii="Calibri" w:hAnsi="Calibri" w:eastAsia="宋体" w:cs="Times New Roman"/>
      <w:kern w:val="2"/>
      <w:sz w:val="21"/>
      <w:szCs w:val="22"/>
      <w:lang w:val="en-US" w:eastAsia="zh-CN" w:bidi="ar-SA"/>
    </w:rPr>
  </w:style>
  <w:style w:type="character" w:customStyle="1" w:styleId="76">
    <w:name w:val="Char Char"/>
    <w:qFormat/>
    <w:uiPriority w:val="99"/>
    <w:rPr>
      <w:sz w:val="18"/>
    </w:rPr>
  </w:style>
  <w:style w:type="character" w:customStyle="1" w:styleId="77">
    <w:name w:val="Char Char3"/>
    <w:qFormat/>
    <w:uiPriority w:val="99"/>
    <w:rPr>
      <w:sz w:val="18"/>
    </w:rPr>
  </w:style>
  <w:style w:type="paragraph" w:customStyle="1" w:styleId="78">
    <w:name w:val="WPSOffice手动目录 1"/>
    <w:qFormat/>
    <w:uiPriority w:val="0"/>
    <w:rPr>
      <w:rFonts w:ascii="Calibri" w:hAnsi="Calibri" w:eastAsia="宋体" w:cs="Times New Roman"/>
      <w:lang w:val="en-US" w:eastAsia="zh-CN" w:bidi="ar-SA"/>
    </w:rPr>
  </w:style>
  <w:style w:type="paragraph" w:customStyle="1" w:styleId="79">
    <w:name w:val="TOC 标题2"/>
    <w:basedOn w:val="4"/>
    <w:next w:val="1"/>
    <w:unhideWhenUsed/>
    <w:qFormat/>
    <w:uiPriority w:val="39"/>
    <w:pPr>
      <w:widowControl/>
      <w:spacing w:before="240" w:after="0" w:line="259" w:lineRule="auto"/>
      <w:jc w:val="left"/>
      <w:outlineLvl w:val="9"/>
    </w:pPr>
    <w:rPr>
      <w:rFonts w:ascii="Calibri Light" w:hAnsi="Calibri Light"/>
      <w:bCs w:val="0"/>
      <w:color w:val="2E74B5"/>
      <w:kern w:val="0"/>
      <w:sz w:val="32"/>
      <w:szCs w:val="32"/>
    </w:rPr>
  </w:style>
  <w:style w:type="paragraph" w:customStyle="1" w:styleId="80">
    <w:name w:val="列出段落2"/>
    <w:basedOn w:val="1"/>
    <w:qFormat/>
    <w:uiPriority w:val="99"/>
    <w:pPr>
      <w:ind w:firstLine="420" w:firstLineChars="200"/>
    </w:pPr>
  </w:style>
  <w:style w:type="paragraph" w:customStyle="1" w:styleId="81">
    <w:name w:val="Body"/>
    <w:basedOn w:val="1"/>
    <w:link w:val="82"/>
    <w:qFormat/>
    <w:uiPriority w:val="99"/>
    <w:pPr>
      <w:adjustRightInd w:val="0"/>
      <w:spacing w:line="360" w:lineRule="auto"/>
      <w:outlineLvl w:val="2"/>
    </w:pPr>
    <w:rPr>
      <w:rFonts w:ascii="Times New Roman" w:hAnsi="Times New Roman" w:eastAsiaTheme="minorEastAsia"/>
      <w:color w:val="000000"/>
      <w:sz w:val="24"/>
      <w:szCs w:val="20"/>
    </w:rPr>
  </w:style>
  <w:style w:type="character" w:customStyle="1" w:styleId="82">
    <w:name w:val="Body Char"/>
    <w:link w:val="81"/>
    <w:qFormat/>
    <w:uiPriority w:val="99"/>
    <w:rPr>
      <w:rFonts w:ascii="Times New Roman" w:hAnsi="Times New Roman" w:eastAsiaTheme="minorEastAsia"/>
      <w:color w:val="000000"/>
      <w:kern w:val="2"/>
      <w:sz w:val="24"/>
    </w:rPr>
  </w:style>
  <w:style w:type="character" w:customStyle="1" w:styleId="83">
    <w:name w:val="占位符文本2"/>
    <w:basedOn w:val="26"/>
    <w:semiHidden/>
    <w:qFormat/>
    <w:uiPriority w:val="99"/>
    <w:rPr>
      <w:color w:val="808080"/>
    </w:rPr>
  </w:style>
  <w:style w:type="paragraph" w:customStyle="1" w:styleId="84">
    <w:name w:val="修订3"/>
    <w:hidden/>
    <w:semiHidden/>
    <w:qFormat/>
    <w:uiPriority w:val="99"/>
    <w:rPr>
      <w:rFonts w:ascii="Calibri" w:hAnsi="Calibri" w:eastAsia="宋体" w:cs="Times New Roman"/>
      <w:kern w:val="2"/>
      <w:sz w:val="21"/>
      <w:szCs w:val="22"/>
      <w:lang w:val="en-US" w:eastAsia="zh-CN" w:bidi="ar-SA"/>
    </w:rPr>
  </w:style>
  <w:style w:type="paragraph" w:customStyle="1" w:styleId="85">
    <w:name w:val="TOC 标题3"/>
    <w:basedOn w:val="4"/>
    <w:next w:val="1"/>
    <w:unhideWhenUsed/>
    <w:qFormat/>
    <w:uiPriority w:val="39"/>
    <w:pPr>
      <w:widowControl/>
      <w:spacing w:before="240" w:after="0" w:line="259" w:lineRule="auto"/>
      <w:jc w:val="left"/>
      <w:outlineLvl w:val="9"/>
    </w:pPr>
    <w:rPr>
      <w:rFonts w:asciiTheme="majorHAnsi" w:hAnsiTheme="majorHAnsi" w:eastAsiaTheme="majorEastAsia" w:cstheme="majorBidi"/>
      <w:bCs w:val="0"/>
      <w:color w:val="376092" w:themeColor="accent1" w:themeShade="BF"/>
      <w:kern w:val="0"/>
      <w:sz w:val="32"/>
      <w:szCs w:val="32"/>
    </w:rPr>
  </w:style>
  <w:style w:type="paragraph" w:customStyle="1" w:styleId="86">
    <w:name w:val="修订4"/>
    <w:hidden/>
    <w:semiHidden/>
    <w:qFormat/>
    <w:uiPriority w:val="99"/>
    <w:rPr>
      <w:rFonts w:ascii="Calibri" w:hAnsi="Calibri" w:eastAsia="宋体" w:cs="Times New Roman"/>
      <w:kern w:val="2"/>
      <w:sz w:val="21"/>
      <w:szCs w:val="22"/>
      <w:lang w:val="en-US" w:eastAsia="zh-CN" w:bidi="ar-SA"/>
    </w:rPr>
  </w:style>
  <w:style w:type="paragraph" w:styleId="87">
    <w:name w:val="List Paragraph"/>
    <w:basedOn w:val="1"/>
    <w:qFormat/>
    <w:uiPriority w:val="99"/>
    <w:pPr>
      <w:ind w:firstLine="420" w:firstLineChars="200"/>
    </w:pPr>
  </w:style>
  <w:style w:type="character" w:customStyle="1" w:styleId="88">
    <w:name w:val="标题 Char"/>
    <w:basedOn w:val="26"/>
    <w:link w:val="22"/>
    <w:qFormat/>
    <w:uiPriority w:val="10"/>
    <w:rPr>
      <w:rFonts w:asciiTheme="majorHAnsi" w:hAnsiTheme="majorHAnsi" w:eastAsiaTheme="majorEastAsia" w:cstheme="majorBidi"/>
      <w:b/>
      <w:bCs/>
      <w:kern w:val="2"/>
      <w:sz w:val="32"/>
      <w:szCs w:val="32"/>
    </w:rPr>
  </w:style>
  <w:style w:type="character" w:customStyle="1" w:styleId="89">
    <w:name w:val="副标题 Char"/>
    <w:basedOn w:val="26"/>
    <w:link w:val="18"/>
    <w:qFormat/>
    <w:uiPriority w:val="11"/>
    <w:rPr>
      <w:b/>
      <w:bCs/>
      <w:kern w:val="28"/>
      <w:sz w:val="32"/>
      <w:szCs w:val="32"/>
    </w:rPr>
  </w:style>
  <w:style w:type="paragraph" w:customStyle="1" w:styleId="90">
    <w:name w:val="reader-word-laye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1">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92">
    <w:name w:val="WPSOffice手动目录 3"/>
    <w:qFormat/>
    <w:uiPriority w:val="0"/>
    <w:pPr>
      <w:ind w:left="400" w:leftChars="400"/>
    </w:pPr>
    <w:rPr>
      <w:rFonts w:asciiTheme="minorHAnsi" w:hAnsiTheme="minorHAnsi" w:eastAsiaTheme="minorEastAsia" w:cstheme="minorBidi"/>
      <w:lang w:val="en-US" w:eastAsia="zh-CN" w:bidi="ar-SA"/>
    </w:rPr>
  </w:style>
  <w:style w:type="paragraph" w:customStyle="1" w:styleId="93">
    <w:name w:val="二级无"/>
    <w:basedOn w:val="57"/>
    <w:qFormat/>
    <w:uiPriority w:val="0"/>
    <w:pPr>
      <w:spacing w:before="0" w:beforeLines="0" w:after="0" w:afterLines="0"/>
    </w:pPr>
    <w:rPr>
      <w:rFonts w:ascii="宋体" w:eastAsia="宋体"/>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8E69E4A-3C12-4EAA-BEB3-8E9B73D6F623}">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49</Pages>
  <Words>22114</Words>
  <Characters>26056</Characters>
  <Lines>218</Lines>
  <Paragraphs>61</Paragraphs>
  <TotalTime>52</TotalTime>
  <ScaleCrop>false</ScaleCrop>
  <LinksUpToDate>false</LinksUpToDate>
  <CharactersWithSpaces>27069</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2023-02-20T07:38:00Z</dcterms:created>
  <dc:creator>cc</dc:creator>
  <cp:lastModifiedBy>Z , 俊</cp:lastModifiedBy>
  <cp:lastPrinted>2019-06-20T07:07:00Z</cp:lastPrinted>
  <dcterms:modified xsi:type="dcterms:W3CDTF">2023-09-08T08:06:20Z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2052-12.1.0.15120</vt:lpwstr>
  </property>
  <property fmtid="{D5CDD505-2E9C-101B-9397-08002B2CF9AE}" pid="4" name="ICV">
    <vt:lpwstr>841B6C2E9ED041409DDDFDAED9651909_13</vt:lpwstr>
  </property>
</Properties>
</file>